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90" w:before="240"/>
      </w:pPr>
      <w:r>
        <w:rPr>
          <w:rFonts w:ascii="Arial" w:cs="Arial" w:eastAsia="Arial" w:hAnsi="Arial"/>
          <w:b/>
          <w:bCs/>
          <w:color w:val="5D51C4"/>
          <w:sz w:val="17"/>
          <w:szCs w:val="17"/>
        </w:rPr>
        <w:t xml:space="preserve">I Z A N A   ·   M A R K E T   P A P E R</w:t>
      </w:r>
    </w:p>
    <w:p>
      <w:pPr>
        <w:spacing w:after="40"/>
      </w:pPr>
      <w:r>
        <w:rPr>
          <w:rFonts w:ascii="Arial" w:cs="Arial" w:eastAsia="Arial" w:hAnsi="Arial"/>
          <w:b/>
          <w:bCs/>
          <w:color w:val="2D2A26"/>
          <w:sz w:val="52"/>
          <w:szCs w:val="52"/>
        </w:rPr>
        <w:t xml:space="preserve">The Cost of Waiting</w:t>
      </w:r>
    </w:p>
    <w:p>
      <w:pPr>
        <w:spacing w:after="150"/>
      </w:pPr>
      <w:r>
        <w:rPr>
          <w:rFonts w:ascii="Arial" w:cs="Arial" w:eastAsia="Arial" w:hAnsi="Arial"/>
          <w:color w:val="2D2A26"/>
          <w:sz w:val="29"/>
          <w:szCs w:val="29"/>
        </w:rPr>
        <w:t xml:space="preserve">Delayed Childbearing and the Economics of Fertility Timing</w:t>
      </w:r>
    </w:p>
    <w:p>
      <w:pPr>
        <w:spacing w:after="200"/>
      </w:pPr>
      <w:r>
        <w:rPr>
          <w:rFonts w:ascii="Arial" w:cs="Arial" w:eastAsia="Arial" w:hAnsi="Arial"/>
          <w:color w:val="6A6459"/>
          <w:sz w:val="22"/>
          <w:szCs w:val="22"/>
        </w:rPr>
        <w:t xml:space="preserve">A market and demographic analysis, with a focus on India, Europe, and Spain</w:t>
      </w:r>
    </w:p>
    <w:p>
      <w:pPr>
        <w:pBdr>
          <w:bottom w:val="single" w:color="5D51C4" w:sz="14" w:space="6"/>
        </w:pBdr>
        <w:spacing w:after="200" w:before="40"/>
      </w:pPr>
    </w:p>
    <w:p>
      <w:pPr>
        <w:spacing w:after="60" w:line="276"/>
      </w:pPr>
      <w:r>
        <w:rPr>
          <w:rFonts w:ascii="Arial" w:cs="Arial" w:eastAsia="Arial" w:hAnsi="Arial"/>
          <w:b w:val="false"/>
          <w:bCs w:val="false"/>
          <w:i/>
          <w:iCs/>
          <w:color w:val="6A6459"/>
          <w:sz w:val="19"/>
          <w:szCs w:val="19"/>
        </w:rPr>
        <w:t xml:space="preserve">First edition  ·  May 2026  ·  Published by Izana, Madrid.</w:t>
      </w:r>
    </w:p>
    <w:p>
      <w:pPr>
        <w:keepNext/>
        <w:spacing w:after="170" w:before="420" w:line="300"/>
      </w:pPr>
      <w:r>
        <w:rPr>
          <w:rFonts w:ascii="Arial" w:cs="Arial" w:eastAsia="Arial" w:hAnsi="Arial"/>
          <w:b/>
          <w:bCs/>
          <w:color w:val="5D51C4"/>
          <w:sz w:val="28"/>
          <w:szCs w:val="28"/>
        </w:rPr>
        <w:t xml:space="preserve">1    </w:t>
      </w:r>
      <w:r>
        <w:rPr>
          <w:rFonts w:ascii="Arial" w:cs="Arial" w:eastAsia="Arial" w:hAnsi="Arial"/>
          <w:b/>
          <w:bCs/>
          <w:color w:val="2D2A26"/>
          <w:sz w:val="28"/>
          <w:szCs w:val="28"/>
        </w:rPr>
        <w:t xml:space="preserve">Executive Summary</w:t>
      </w:r>
    </w:p>
    <w:p>
      <w:pPr>
        <w:spacing w:after="200" w:before="0" w:line="312"/>
      </w:pPr>
      <w:r>
        <w:rPr>
          <w:rFonts w:ascii="Arial" w:cs="Arial" w:eastAsia="Arial" w:hAnsi="Arial"/>
          <w:b w:val="false"/>
          <w:bCs w:val="false"/>
          <w:i w:val="false"/>
          <w:iCs w:val="false"/>
          <w:color w:val="35302A"/>
          <w:sz w:val="23"/>
          <w:szCs w:val="23"/>
        </w:rPr>
        <w:t xml:space="preserve">Across the economies that have urbanised and educated their populations, fertility has fallen below the level required to sustain a population over time. This is no longer a feature of a few rich countries. The United Nations reports that 131 of 237 countries and territories now have fertility below the replacement level of about 2.1 children per woman, a group that includes every one of the world’s largest economies (United Nations, 2024). India, long regarded as a young and growing nation, has joined them, recording a total fertility rate of 2.0 in its most recent national survey. The economic consequences of this shift are now treated as a first-order concern by the International Monetary Fund, the European Commission, the OECD, and the World Bank.</w:t>
      </w:r>
    </w:p>
    <w:p>
      <w:pPr>
        <w:spacing w:after="200" w:before="0" w:line="312"/>
      </w:pPr>
      <w:r>
        <w:rPr>
          <w:rFonts w:ascii="Arial" w:cs="Arial" w:eastAsia="Arial" w:hAnsi="Arial"/>
          <w:b w:val="false"/>
          <w:bCs w:val="false"/>
          <w:i w:val="false"/>
          <w:iCs w:val="false"/>
          <w:color w:val="35302A"/>
          <w:sz w:val="23"/>
          <w:szCs w:val="23"/>
        </w:rPr>
        <w:t xml:space="preserve">The dominant proximate cause is not that people no longer want children. It is that they are having them later, and that some postponed fertility is never recovered. Childbearing has been pushed later by a consistent set of economic and structural pressures: the cost of housing, the cost and scarcity of childcare, longer years in education, insecure early careers, and later partnership formation. Postponement is a rational response to those conditions, and it is not easily reversed.</w:t>
      </w:r>
    </w:p>
    <w:p>
      <w:pPr>
        <w:spacing w:after="200" w:before="0" w:line="312"/>
      </w:pPr>
      <w:r>
        <w:rPr>
          <w:rFonts w:ascii="Arial" w:cs="Arial" w:eastAsia="Arial" w:hAnsi="Arial"/>
          <w:b w:val="false"/>
          <w:bCs w:val="false"/>
          <w:i w:val="false"/>
          <w:iCs w:val="false"/>
          <w:color w:val="35302A"/>
          <w:sz w:val="23"/>
          <w:szCs w:val="23"/>
        </w:rPr>
        <w:t xml:space="preserve">Postponement has a biological consequence. Human fertility is not constant across adult life; it declines gradually from the early thirties and more steeply after the late thirties (ASRM, 2014). As the age at which couples try to conceive rises, a growing share encounter difficulty, and a growing share turn to assisted reproduction. This is a structural shift rather than a cyclical one, and it expands the demand for fertility treatment over a multi-decade horizon. It is important to be precise about what this does not mean: assisted reproduction raises the realised fertility of couples who postponed, but it cannot, at any plausible scale, reverse a country’s below-replacement birth rate. The demographic problem and the individual problem are different problems. This paper concerns the second.</w:t>
      </w:r>
    </w:p>
    <w:p>
      <w:pPr>
        <w:spacing w:after="200" w:before="0" w:line="312"/>
      </w:pPr>
      <w:r>
        <w:rPr>
          <w:rFonts w:ascii="Arial" w:cs="Arial" w:eastAsia="Arial" w:hAnsi="Arial"/>
          <w:b w:val="false"/>
          <w:bCs w:val="false"/>
          <w:i w:val="false"/>
          <w:iCs w:val="false"/>
          <w:color w:val="35302A"/>
          <w:sz w:val="23"/>
          <w:szCs w:val="23"/>
        </w:rPr>
        <w:t xml:space="preserve">That demand is already substantial. Across Europe more than one million assisted-reproduction cycles are performed each year, and in Spain roughly one birth in eight now follows fertility treatment. The demand flows almost entirely through fertility clinics. The clinic industry is fragmented, its specialist workforce is constrained, and its ownership is consolidating rapidly as private capital acquires and combines clinics into chains. Across that industry, investment and competition concentrate on the medical and laboratory side of treatment. The patient experience, meaning the long and burdensome journey a patient lives between and around clinical appointments, is comparatively neglected. It is the least-defended part of the value chain.</w:t>
      </w:r>
    </w:p>
    <w:p>
      <w:pPr>
        <w:spacing w:after="200" w:before="0" w:line="312"/>
      </w:pPr>
      <w:r>
        <w:rPr>
          <w:rFonts w:ascii="Arial" w:cs="Arial" w:eastAsia="Arial" w:hAnsi="Arial"/>
          <w:b w:val="false"/>
          <w:bCs w:val="false"/>
          <w:i w:val="false"/>
          <w:iCs w:val="false"/>
          <w:color w:val="35302A"/>
          <w:sz w:val="23"/>
          <w:szCs w:val="23"/>
        </w:rPr>
        <w:t xml:space="preserve">This paper sets out the demographic and economic case in sections two through five, sizes the resulting market in section six, examines the structure of the clinic industry in section seven, and identifies in section eight the strategic gap that structure creates. Section nine describes Izana, a clinically-governed patient-companion platform distributed through clinics, and why a model positioned at the patient layer compounds as the market grows. Section ten states the conditions the thesis depends on and the risks to it. The argument is not that Izana is guaranteed to lead this market. It is that the market is expanding for reasons that are unusually predictable, that the patient layer is its under-served and defensible ground, and that Izana is built for that layer.</w:t>
      </w:r>
    </w:p>
    <w:p>
      <w:pPr>
        <w:keepNext/>
        <w:spacing w:after="170" w:before="420" w:line="300"/>
      </w:pPr>
      <w:r>
        <w:rPr>
          <w:rFonts w:ascii="Arial" w:cs="Arial" w:eastAsia="Arial" w:hAnsi="Arial"/>
          <w:b/>
          <w:bCs/>
          <w:color w:val="5D51C4"/>
          <w:sz w:val="28"/>
          <w:szCs w:val="28"/>
        </w:rPr>
        <w:t xml:space="preserve">2    </w:t>
      </w:r>
      <w:r>
        <w:rPr>
          <w:rFonts w:ascii="Arial" w:cs="Arial" w:eastAsia="Arial" w:hAnsi="Arial"/>
          <w:b/>
          <w:bCs/>
          <w:color w:val="2D2A26"/>
          <w:sz w:val="28"/>
          <w:szCs w:val="28"/>
        </w:rPr>
        <w:t xml:space="preserve">The Demographic Shift</w:t>
      </w:r>
    </w:p>
    <w:p>
      <w:pPr>
        <w:spacing w:after="200" w:before="0" w:line="312"/>
      </w:pPr>
      <w:r>
        <w:rPr>
          <w:rFonts w:ascii="Arial" w:cs="Arial" w:eastAsia="Arial" w:hAnsi="Arial"/>
          <w:b w:val="false"/>
          <w:bCs w:val="false"/>
          <w:i w:val="false"/>
          <w:iCs w:val="false"/>
          <w:color w:val="35302A"/>
          <w:sz w:val="23"/>
          <w:szCs w:val="23"/>
        </w:rPr>
        <w:t xml:space="preserve">A population sustains its size, before migration, when each woman has on average about 2.1 children. This is the replacement level. For most of human history fertility sat well above it. As recently as 1970 the global average was about 4.8 children per woman. By 2024 it had fallen to roughly 2.3, and 131 of 237 countries and territories now sit below the replacement level (United Nations, 2024). The decline has tracked urbanisation, female education, and rising incomes so consistently that it is best understood not as a series of national anomalies but as a near-universal feature of economic development.</w:t>
      </w:r>
    </w:p>
    <w:p>
      <w:pPr>
        <w:spacing w:after="200" w:before="0" w:line="312"/>
      </w:pPr>
      <w:r>
        <w:rPr>
          <w:rFonts w:ascii="Arial" w:cs="Arial" w:eastAsia="Arial" w:hAnsi="Arial"/>
          <w:b w:val="false"/>
          <w:bCs w:val="false"/>
          <w:i w:val="false"/>
          <w:iCs w:val="false"/>
          <w:color w:val="35302A"/>
          <w:sz w:val="23"/>
          <w:szCs w:val="23"/>
        </w:rPr>
        <w:t xml:space="preserve">India is the most consequential recent entrant to this group. The country’s most recent National Family Health Survey, conducted between 2019 and 2021, records a total fertility rate of 2.0, below the 2.1 replacement level, down from 2.2 in the previous round and from well above 5.0 in the 1960s (IIPS and MoHFW, 2021). The national figure conceals a sharp divide: urban India is at 1.6, while rural India is at 2.1. Only a small number of states, mostly in the north and east, remain meaningfully above replacement. For a country still widely described as young, the demographic turning point has, on the survey evidence, already been passed.</w:t>
      </w:r>
    </w:p>
    <w:p>
      <w:pPr>
        <w:spacing w:after="200" w:before="0" w:line="312"/>
      </w:pPr>
      <w:r>
        <w:rPr>
          <w:rFonts w:ascii="Arial" w:cs="Arial" w:eastAsia="Arial" w:hAnsi="Arial"/>
          <w:b w:val="false"/>
          <w:bCs w:val="false"/>
          <w:i w:val="false"/>
          <w:iCs w:val="false"/>
          <w:color w:val="35302A"/>
          <w:sz w:val="23"/>
          <w:szCs w:val="23"/>
        </w:rPr>
        <w:t xml:space="preserve">Europe shows where that trajectory can lead. The European Union’s average fertility rate was 1.38 in 2024, and the Union has been below replacement since the mid-1970s (Eurostat, 2025). Spain is among the lowest anywhere in the world, at 1.10, with 318,005 births registered in 2024 (Instituto Nacional de Estadística, 2025). Spain has recorded more deaths than births every year since 2015, around one in ten Spanish children is now born to a mother over the age of 40, and the share of women who reach the end of their reproductive years without children has risen from roughly 9% of those born in 1960 to about 24% of those born in 1975, the steepest such increase in the OECD (OECD, 2024). These are not projections. They are the current state of a large European economy.</w:t>
      </w:r>
    </w:p>
    <w:p>
      <w:pPr>
        <w:spacing w:after="200" w:before="0" w:line="312"/>
      </w:pPr>
      <w:r>
        <w:rPr>
          <w:rFonts w:ascii="Arial" w:cs="Arial" w:eastAsia="Arial" w:hAnsi="Arial"/>
          <w:b w:val="false"/>
          <w:bCs w:val="false"/>
          <w:i w:val="false"/>
          <w:iCs w:val="false"/>
          <w:color w:val="35302A"/>
          <w:sz w:val="23"/>
          <w:szCs w:val="23"/>
        </w:rPr>
        <w:t xml:space="preserve">East Asia marks the leading edge of the same process. South Korea’s fertility rate, at about 0.72, is the lowest ever recorded for a sovereign state; Japan’s is roughly 1.2; China’s has fallen below replacement, to about 1.1, and its population has begun to shrink (United Nations, 2024). The International Monetary Fund projects that, on current trends, the Republic of Korea’s population could fall by some 17 million people, close to a third of its current size, over the coming decades (International Monetary Fund, 2025). These countries are not demographic outliers so much as a preview.</w:t>
      </w:r>
    </w:p>
    <w:p>
      <w:pPr>
        <w:keepNext/>
        <w:spacing w:after="100" w:before="80"/>
      </w:pPr>
      <w:r>
        <w:rPr>
          <w:rFonts w:ascii="Arial" w:cs="Arial" w:eastAsia="Arial" w:hAnsi="Arial"/>
          <w:b/>
          <w:bCs/>
          <w:color w:val="5D51C4"/>
          <w:sz w:val="18"/>
          <w:szCs w:val="18"/>
        </w:rPr>
        <w:t xml:space="preserve">Table 1.  Total fertility rate, selected economies. The replacement level is 2.1 children per woman.</w:t>
      </w:r>
    </w:p>
    <w:tbl>
      <w:tblPr>
        <w:tblW w:type="dxa" w:w="8666"/>
        <w:tblBorders>
          <w:top w:val="single" w:color="E4DECF" w:sz="2"/>
          <w:left w:val="none"/>
          <w:bottom w:val="single" w:color="E4DECF" w:sz="2"/>
          <w:right w:val="none"/>
          <w:insideH w:val="single" w:color="EAE3D6" w:sz="2"/>
          <w:insideV w:val="none"/>
        </w:tblBorders>
        <w:tblLayout w:type="fixed"/>
      </w:tblPr>
      <w:tblGrid>
        <w:gridCol w:w="2300"/>
        <w:gridCol w:w="1320"/>
        <w:gridCol w:w="1180"/>
        <w:gridCol w:w="3866"/>
      </w:tblGrid>
      <w:tr>
        <w:trPr>
          <w:tblHeader/>
        </w:trPr>
        <w:tc>
          <w:tcPr>
            <w:tcW w:type="dxa" w:w="2300"/>
            <w:shd w:fill="5D51C4" w:color="auto" w:val="clear"/>
            <w:tcMar>
              <w:top w:type="dxa" w:w="80"/>
              <w:left w:type="dxa" w:w="120"/>
              <w:bottom w:type="dxa" w:w="80"/>
              <w:right w:type="dxa" w:w="120"/>
            </w:tcMar>
            <w:vAlign w:val="center"/>
          </w:tcPr>
          <w:p>
            <w:pPr>
              <w:spacing w:after="0" w:before="0" w:line="248"/>
              <w:jc w:val="left"/>
            </w:pPr>
            <w:r>
              <w:rPr>
                <w:rFonts w:ascii="Arial" w:cs="Arial" w:eastAsia="Arial" w:hAnsi="Arial"/>
                <w:b/>
                <w:bCs/>
                <w:color w:val="FFFFFF"/>
                <w:sz w:val="17"/>
                <w:szCs w:val="17"/>
              </w:rPr>
              <w:t xml:space="preserve">Economy</w:t>
            </w:r>
          </w:p>
        </w:tc>
        <w:tc>
          <w:tcPr>
            <w:tcW w:type="dxa" w:w="1320"/>
            <w:shd w:fill="5D51C4" w:color="auto" w:val="clear"/>
            <w:tcMar>
              <w:top w:type="dxa" w:w="80"/>
              <w:left w:type="dxa" w:w="120"/>
              <w:bottom w:type="dxa" w:w="80"/>
              <w:right w:type="dxa" w:w="120"/>
            </w:tcMar>
            <w:vAlign w:val="center"/>
          </w:tcPr>
          <w:p>
            <w:pPr>
              <w:spacing w:after="0" w:before="0" w:line="248"/>
              <w:jc w:val="center"/>
            </w:pPr>
            <w:r>
              <w:rPr>
                <w:rFonts w:ascii="Arial" w:cs="Arial" w:eastAsia="Arial" w:hAnsi="Arial"/>
                <w:b/>
                <w:bCs/>
                <w:color w:val="FFFFFF"/>
                <w:sz w:val="17"/>
                <w:szCs w:val="17"/>
              </w:rPr>
              <w:t xml:space="preserve">Fertility rate</w:t>
            </w:r>
          </w:p>
        </w:tc>
        <w:tc>
          <w:tcPr>
            <w:tcW w:type="dxa" w:w="1180"/>
            <w:shd w:fill="5D51C4" w:color="auto" w:val="clear"/>
            <w:tcMar>
              <w:top w:type="dxa" w:w="80"/>
              <w:left w:type="dxa" w:w="120"/>
              <w:bottom w:type="dxa" w:w="80"/>
              <w:right w:type="dxa" w:w="120"/>
            </w:tcMar>
            <w:vAlign w:val="center"/>
          </w:tcPr>
          <w:p>
            <w:pPr>
              <w:spacing w:after="0" w:before="0" w:line="248"/>
              <w:jc w:val="center"/>
            </w:pPr>
            <w:r>
              <w:rPr>
                <w:rFonts w:ascii="Arial" w:cs="Arial" w:eastAsia="Arial" w:hAnsi="Arial"/>
                <w:b/>
                <w:bCs/>
                <w:color w:val="FFFFFF"/>
                <w:sz w:val="17"/>
                <w:szCs w:val="17"/>
              </w:rPr>
              <w:t xml:space="preserve">Year</w:t>
            </w:r>
          </w:p>
        </w:tc>
        <w:tc>
          <w:tcPr>
            <w:tcW w:type="dxa" w:w="3866"/>
            <w:shd w:fill="5D51C4" w:color="auto" w:val="clear"/>
            <w:tcMar>
              <w:top w:type="dxa" w:w="80"/>
              <w:left w:type="dxa" w:w="120"/>
              <w:bottom w:type="dxa" w:w="80"/>
              <w:right w:type="dxa" w:w="120"/>
            </w:tcMar>
            <w:vAlign w:val="center"/>
          </w:tcPr>
          <w:p>
            <w:pPr>
              <w:spacing w:after="0" w:before="0" w:line="248"/>
              <w:jc w:val="left"/>
            </w:pPr>
            <w:r>
              <w:rPr>
                <w:rFonts w:ascii="Arial" w:cs="Arial" w:eastAsia="Arial" w:hAnsi="Arial"/>
                <w:b/>
                <w:bCs/>
                <w:color w:val="FFFFFF"/>
                <w:sz w:val="17"/>
                <w:szCs w:val="17"/>
              </w:rPr>
              <w:t xml:space="preserve">Note</w:t>
            </w:r>
          </w:p>
        </w:tc>
      </w:tr>
      <w:tr>
        <w:tc>
          <w:tcPr>
            <w:tcW w:type="dxa" w:w="2300"/>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World</w:t>
            </w:r>
          </w:p>
        </w:tc>
        <w:tc>
          <w:tcPr>
            <w:tcW w:type="dxa" w:w="1320"/>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2.3</w:t>
            </w:r>
          </w:p>
        </w:tc>
        <w:tc>
          <w:tcPr>
            <w:tcW w:type="dxa" w:w="1180"/>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2024</w:t>
            </w:r>
          </w:p>
        </w:tc>
        <w:tc>
          <w:tcPr>
            <w:tcW w:type="dxa" w:w="3866"/>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Down from about 4.8 in 1970</w:t>
            </w:r>
          </w:p>
        </w:tc>
      </w:tr>
      <w:tr>
        <w:tc>
          <w:tcPr>
            <w:tcW w:type="dxa" w:w="2300"/>
            <w:shd w:fill="F4F0E8"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India (national)</w:t>
            </w:r>
          </w:p>
        </w:tc>
        <w:tc>
          <w:tcPr>
            <w:tcW w:type="dxa" w:w="1320"/>
            <w:shd w:fill="F4F0E8"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2.0</w:t>
            </w:r>
          </w:p>
        </w:tc>
        <w:tc>
          <w:tcPr>
            <w:tcW w:type="dxa" w:w="1180"/>
            <w:shd w:fill="F4F0E8"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2019–21</w:t>
            </w:r>
          </w:p>
        </w:tc>
        <w:tc>
          <w:tcPr>
            <w:tcW w:type="dxa" w:w="3866"/>
            <w:shd w:fill="F4F0E8"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First national survey below replacement</w:t>
            </w:r>
          </w:p>
        </w:tc>
      </w:tr>
      <w:tr>
        <w:tc>
          <w:tcPr>
            <w:tcW w:type="dxa" w:w="2300"/>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India (urban)</w:t>
            </w:r>
          </w:p>
        </w:tc>
        <w:tc>
          <w:tcPr>
            <w:tcW w:type="dxa" w:w="1320"/>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1.6</w:t>
            </w:r>
          </w:p>
        </w:tc>
        <w:tc>
          <w:tcPr>
            <w:tcW w:type="dxa" w:w="1180"/>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2019–21</w:t>
            </w:r>
          </w:p>
        </w:tc>
        <w:tc>
          <w:tcPr>
            <w:tcW w:type="dxa" w:w="3866"/>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Rural India is at 2.1</w:t>
            </w:r>
          </w:p>
        </w:tc>
      </w:tr>
      <w:tr>
        <w:tc>
          <w:tcPr>
            <w:tcW w:type="dxa" w:w="2300"/>
            <w:shd w:fill="F4F0E8"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United States</w:t>
            </w:r>
          </w:p>
        </w:tc>
        <w:tc>
          <w:tcPr>
            <w:tcW w:type="dxa" w:w="1320"/>
            <w:shd w:fill="F4F0E8"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1.7</w:t>
            </w:r>
          </w:p>
        </w:tc>
        <w:tc>
          <w:tcPr>
            <w:tcW w:type="dxa" w:w="1180"/>
            <w:shd w:fill="F4F0E8"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2022</w:t>
            </w:r>
          </w:p>
        </w:tc>
        <w:tc>
          <w:tcPr>
            <w:tcW w:type="dxa" w:w="3866"/>
            <w:shd w:fill="F4F0E8"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Below replacement</w:t>
            </w:r>
          </w:p>
        </w:tc>
      </w:tr>
      <w:tr>
        <w:tc>
          <w:tcPr>
            <w:tcW w:type="dxa" w:w="2300"/>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European Union</w:t>
            </w:r>
          </w:p>
        </w:tc>
        <w:tc>
          <w:tcPr>
            <w:tcW w:type="dxa" w:w="1320"/>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1.4</w:t>
            </w:r>
          </w:p>
        </w:tc>
        <w:tc>
          <w:tcPr>
            <w:tcW w:type="dxa" w:w="1180"/>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2024</w:t>
            </w:r>
          </w:p>
        </w:tc>
        <w:tc>
          <w:tcPr>
            <w:tcW w:type="dxa" w:w="3866"/>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Below replacement since the mid-1970s</w:t>
            </w:r>
          </w:p>
        </w:tc>
      </w:tr>
      <w:tr>
        <w:tc>
          <w:tcPr>
            <w:tcW w:type="dxa" w:w="2300"/>
            <w:shd w:fill="F4F0E8"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Japan</w:t>
            </w:r>
          </w:p>
        </w:tc>
        <w:tc>
          <w:tcPr>
            <w:tcW w:type="dxa" w:w="1320"/>
            <w:shd w:fill="F4F0E8"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1.2</w:t>
            </w:r>
          </w:p>
        </w:tc>
        <w:tc>
          <w:tcPr>
            <w:tcW w:type="dxa" w:w="1180"/>
            <w:shd w:fill="F4F0E8"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2023</w:t>
            </w:r>
          </w:p>
        </w:tc>
        <w:tc>
          <w:tcPr>
            <w:tcW w:type="dxa" w:w="3866"/>
            <w:shd w:fill="F4F0E8"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Population peaked in 2008</w:t>
            </w:r>
          </w:p>
        </w:tc>
      </w:tr>
      <w:tr>
        <w:tc>
          <w:tcPr>
            <w:tcW w:type="dxa" w:w="2300"/>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Spain</w:t>
            </w:r>
          </w:p>
        </w:tc>
        <w:tc>
          <w:tcPr>
            <w:tcW w:type="dxa" w:w="1320"/>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1.1</w:t>
            </w:r>
          </w:p>
        </w:tc>
        <w:tc>
          <w:tcPr>
            <w:tcW w:type="dxa" w:w="1180"/>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2024</w:t>
            </w:r>
          </w:p>
        </w:tc>
        <w:tc>
          <w:tcPr>
            <w:tcW w:type="dxa" w:w="3866"/>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Among the lowest in the world</w:t>
            </w:r>
          </w:p>
        </w:tc>
      </w:tr>
      <w:tr>
        <w:tc>
          <w:tcPr>
            <w:tcW w:type="dxa" w:w="2300"/>
            <w:shd w:fill="F4F0E8"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China</w:t>
            </w:r>
          </w:p>
        </w:tc>
        <w:tc>
          <w:tcPr>
            <w:tcW w:type="dxa" w:w="1320"/>
            <w:shd w:fill="F4F0E8"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1.1</w:t>
            </w:r>
          </w:p>
        </w:tc>
        <w:tc>
          <w:tcPr>
            <w:tcW w:type="dxa" w:w="1180"/>
            <w:shd w:fill="F4F0E8"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2022</w:t>
            </w:r>
          </w:p>
        </w:tc>
        <w:tc>
          <w:tcPr>
            <w:tcW w:type="dxa" w:w="3866"/>
            <w:shd w:fill="F4F0E8"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Population has begun to shrink</w:t>
            </w:r>
          </w:p>
        </w:tc>
      </w:tr>
      <w:tr>
        <w:tc>
          <w:tcPr>
            <w:tcW w:type="dxa" w:w="2300"/>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South Korea</w:t>
            </w:r>
          </w:p>
        </w:tc>
        <w:tc>
          <w:tcPr>
            <w:tcW w:type="dxa" w:w="1320"/>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0.7</w:t>
            </w:r>
          </w:p>
        </w:tc>
        <w:tc>
          <w:tcPr>
            <w:tcW w:type="dxa" w:w="1180"/>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2024</w:t>
            </w:r>
          </w:p>
        </w:tc>
        <w:tc>
          <w:tcPr>
            <w:tcW w:type="dxa" w:w="3866"/>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Lowest ever recorded for a sovereign state</w:t>
            </w:r>
          </w:p>
        </w:tc>
      </w:tr>
    </w:tbl>
    <w:p>
      <w:pPr>
        <w:spacing w:after="220" w:before="110" w:line="240"/>
      </w:pPr>
      <w:r>
        <w:rPr>
          <w:rFonts w:ascii="Arial" w:cs="Arial" w:eastAsia="Arial" w:hAnsi="Arial"/>
          <w:b w:val="false"/>
          <w:bCs w:val="false"/>
          <w:i/>
          <w:iCs/>
          <w:color w:val="9C8F7C"/>
          <w:sz w:val="17"/>
          <w:szCs w:val="17"/>
        </w:rPr>
        <w:t xml:space="preserve">Sources: United Nations (2024); IIPS and MoHFW (2021); Eurostat (2025); Instituto Nacional de Estadística (2025). Rates rounded to one decimal place; figures in the text are given at full reported precision.</w:t>
      </w:r>
    </w:p>
    <w:p>
      <w:pPr>
        <w:spacing w:after="200" w:before="0" w:line="312"/>
      </w:pPr>
      <w:r>
        <w:rPr>
          <w:rFonts w:ascii="Arial" w:cs="Arial" w:eastAsia="Arial" w:hAnsi="Arial"/>
          <w:b w:val="false"/>
          <w:bCs w:val="false"/>
          <w:i w:val="false"/>
          <w:iCs w:val="false"/>
          <w:color w:val="35302A"/>
          <w:sz w:val="23"/>
          <w:szCs w:val="23"/>
        </w:rPr>
        <w:t xml:space="preserve">Set side by side, India and Spain are best read as two points on a single path. Spain is a useful mirror for India not because the two countries are alike, but because Spain has already travelled the road that India’s cities are now on: urbanisation, rising female education and employment, later marriage, and a fertility rate that fell first to replacement and then well below it. The comparison should not be pushed too far, since national trajectories differ and India’s path may yet diverge. But the direction of travel, across India, Europe, and East Asia alike, is no longer seriously in question. The relevant question is what follows from it.</w:t>
      </w:r>
    </w:p>
    <w:p>
      <w:pPr>
        <w:keepNext/>
        <w:spacing w:after="170" w:before="420" w:line="300"/>
      </w:pPr>
      <w:r>
        <w:rPr>
          <w:rFonts w:ascii="Arial" w:cs="Arial" w:eastAsia="Arial" w:hAnsi="Arial"/>
          <w:b/>
          <w:bCs/>
          <w:color w:val="5D51C4"/>
          <w:sz w:val="28"/>
          <w:szCs w:val="28"/>
        </w:rPr>
        <w:t xml:space="preserve">3    </w:t>
      </w:r>
      <w:r>
        <w:rPr>
          <w:rFonts w:ascii="Arial" w:cs="Arial" w:eastAsia="Arial" w:hAnsi="Arial"/>
          <w:b/>
          <w:bCs/>
          <w:color w:val="2D2A26"/>
          <w:sz w:val="28"/>
          <w:szCs w:val="28"/>
        </w:rPr>
        <w:t xml:space="preserve">The Economic Consequences of Low Fertility</w:t>
      </w:r>
    </w:p>
    <w:p>
      <w:pPr>
        <w:spacing w:after="200" w:before="0" w:line="312"/>
      </w:pPr>
      <w:r>
        <w:rPr>
          <w:rFonts w:ascii="Arial" w:cs="Arial" w:eastAsia="Arial" w:hAnsi="Arial"/>
          <w:b w:val="false"/>
          <w:bCs w:val="false"/>
          <w:i w:val="false"/>
          <w:iCs w:val="false"/>
          <w:color w:val="35302A"/>
          <w:sz w:val="23"/>
          <w:szCs w:val="23"/>
        </w:rPr>
        <w:t xml:space="preserve">Low fertility is often discussed as a social or cultural matter. Its more consequential dimension is economic, and it is on economic grounds that it has become a priority for finance ministries and central banks. A sustained birth rate below replacement reshapes the age structure of a population: over time, the share that is of working age falls and the share that is retired rises. The result is a rising old-age dependency ratio, a shrinking labour force relative to the population that depends on it, and mounting pressure on every system that transfers resources from workers to retirees.</w:t>
      </w:r>
    </w:p>
    <w:p>
      <w:pPr>
        <w:spacing w:after="200" w:before="0" w:line="312"/>
      </w:pPr>
      <w:r>
        <w:rPr>
          <w:rFonts w:ascii="Arial" w:cs="Arial" w:eastAsia="Arial" w:hAnsi="Arial"/>
          <w:b w:val="false"/>
          <w:bCs w:val="false"/>
          <w:i w:val="false"/>
          <w:iCs w:val="false"/>
          <w:color w:val="35302A"/>
          <w:sz w:val="23"/>
          <w:szCs w:val="23"/>
        </w:rPr>
        <w:t xml:space="preserve">In Europe these pressures are already quantified. The European Commission’s 2024 Ageing Report projects that age-related public spending, on pensions, healthcare, and long-term care, will rise across the Union from about 24.1% to 25.6% of GDP by 2070 (European Commission, 2024). Spain is an outlier within that projection: its public pension spending alone is projected to rise from 13.1% of GDP in 2022 to 16.7% by 2070, among the steepest increases in the Union. An economy with Spain’s fertility history faces the arithmetic directly, as each retired cohort is large and each cohort of workers entering behind it is smaller.</w:t>
      </w:r>
    </w:p>
    <w:p>
      <w:pPr>
        <w:spacing w:after="200" w:before="0" w:line="312"/>
      </w:pPr>
      <w:r>
        <w:rPr>
          <w:rFonts w:ascii="Arial" w:cs="Arial" w:eastAsia="Arial" w:hAnsi="Arial"/>
          <w:b w:val="false"/>
          <w:bCs w:val="false"/>
          <w:i w:val="false"/>
          <w:iCs w:val="false"/>
          <w:color w:val="35302A"/>
          <w:sz w:val="23"/>
          <w:szCs w:val="23"/>
        </w:rPr>
        <w:t xml:space="preserve">The effect is not confined to public budgets. Analysis by the International Monetary Fund across European economies finds that declining fertility acts as a measurable drag on growth in income per person, operating through a workforce that is both shrinking and ageing (Cevik, 2025). Fewer workers, an older labour force, and a heavier dependency burden together lower an economy’s growth potential. Demographic decline, in other words, is not only a fiscal problem to be managed but a growth problem that compounds over time.</w:t>
      </w:r>
    </w:p>
    <w:p>
      <w:pPr>
        <w:spacing w:after="200" w:before="0" w:line="312"/>
      </w:pPr>
      <w:r>
        <w:rPr>
          <w:rFonts w:ascii="Arial" w:cs="Arial" w:eastAsia="Arial" w:hAnsi="Arial"/>
          <w:b w:val="false"/>
          <w:bCs w:val="false"/>
          <w:i w:val="false"/>
          <w:iCs w:val="false"/>
          <w:color w:val="35302A"/>
          <w:sz w:val="23"/>
          <w:szCs w:val="23"/>
        </w:rPr>
        <w:t xml:space="preserve">For India the stakes have a particular shape. India’s recent growth has been supported by a demographic dividend, meaning a large working-age population relative to dependents. That dividend is finite. The working-age share of India’s population is projected to peak within the next few years and then decline, and the median age, which rose from about 24 in 2011 to roughly 29 today, is projected to reach 36 by 2036 (United Nations, 2024). The population aged 60 and over is projected to roughly double, from 10.5% of the population, about 149 million people, in 2022 to 20.8%, about 347 million people, by 2050, and to exceed the number of children in the country by around 2046 (United Nations Population Fund, 2023). The risk India now faces is the one demographers describe as growing old before growing rich: the dividend window closing before the income and the institutions of an advanced economy are fully in place.</w:t>
      </w:r>
    </w:p>
    <w:p>
      <w:pPr>
        <w:spacing w:after="200" w:before="0" w:line="312"/>
      </w:pPr>
      <w:r>
        <w:rPr>
          <w:rFonts w:ascii="Arial" w:cs="Arial" w:eastAsia="Arial" w:hAnsi="Arial"/>
          <w:b w:val="false"/>
          <w:bCs w:val="false"/>
          <w:i w:val="false"/>
          <w:iCs w:val="false"/>
          <w:color w:val="35302A"/>
          <w:sz w:val="23"/>
          <w:szCs w:val="23"/>
        </w:rPr>
        <w:t xml:space="preserve">This is why fertility has moved from the family-policy brief to the macroeconomic one. The institutions that price long-term risk, the IMF, the European Commission, the OECD, the World Bank, and the United Nations, now treat demographic decline as a first-order issue. For the purposes of this paper the consequence is narrower and more specific. A society that recognises low fertility as an economic problem also has reason to care about the realised outcomes of the couples who do try to have children, including the growing share who will need medical help to do so. That is the bridge from the macro picture to the market this paper examines.</w:t>
      </w:r>
    </w:p>
    <w:p>
      <w:pPr>
        <w:keepNext/>
        <w:spacing w:after="170" w:before="420" w:line="300"/>
      </w:pPr>
      <w:r>
        <w:rPr>
          <w:rFonts w:ascii="Arial" w:cs="Arial" w:eastAsia="Arial" w:hAnsi="Arial"/>
          <w:b/>
          <w:bCs/>
          <w:color w:val="5D51C4"/>
          <w:sz w:val="28"/>
          <w:szCs w:val="28"/>
        </w:rPr>
        <w:t xml:space="preserve">4    </w:t>
      </w:r>
      <w:r>
        <w:rPr>
          <w:rFonts w:ascii="Arial" w:cs="Arial" w:eastAsia="Arial" w:hAnsi="Arial"/>
          <w:b/>
          <w:bCs/>
          <w:color w:val="2D2A26"/>
          <w:sz w:val="28"/>
          <w:szCs w:val="28"/>
        </w:rPr>
        <w:t xml:space="preserve">Why Childbearing Is Postponed</w:t>
      </w:r>
    </w:p>
    <w:p>
      <w:pPr>
        <w:spacing w:after="200" w:before="0" w:line="312"/>
      </w:pPr>
      <w:r>
        <w:rPr>
          <w:rFonts w:ascii="Arial" w:cs="Arial" w:eastAsia="Arial" w:hAnsi="Arial"/>
          <w:b w:val="false"/>
          <w:bCs w:val="false"/>
          <w:i w:val="false"/>
          <w:iCs w:val="false"/>
          <w:color w:val="35302A"/>
          <w:sz w:val="23"/>
          <w:szCs w:val="23"/>
        </w:rPr>
        <w:t xml:space="preserve">To understand the market that low fertility creates, it is necessary to be precise about its cause. The fall in fertility across these economies is not, in the main, the result of people deciding they want no children, or far fewer. Survey evidence across the OECD consistently shows a gap between the number of children people say they want and the number they have. The dominant proximate mechanism is timing. Childbearing is being postponed, pushed later in life, and some of that postponed fertility is never recovered.</w:t>
      </w:r>
    </w:p>
    <w:p>
      <w:pPr>
        <w:spacing w:after="200" w:before="0" w:line="312"/>
      </w:pPr>
      <w:r>
        <w:rPr>
          <w:rFonts w:ascii="Arial" w:cs="Arial" w:eastAsia="Arial" w:hAnsi="Arial"/>
          <w:b w:val="false"/>
          <w:bCs w:val="false"/>
          <w:i w:val="false"/>
          <w:iCs w:val="false"/>
          <w:color w:val="35302A"/>
          <w:sz w:val="23"/>
          <w:szCs w:val="23"/>
        </w:rPr>
        <w:t xml:space="preserve">The postponement is visible in the data. Across the European Union the mean age at which women have their first child has risen to 29.9 years, and in Italy it is 31.9 (Eurostat, 2025). In Spain the mean age of mothers at childbirth rose from 30.7 years in 2000 to 32.6 in 2022 (OECD, 2024). India is at an earlier point on the same curve: the median age at first birth nationally is 21.2 years, but it is rising, and it rises sharply with education and with urban residence, so that the most educated urban women begin childbearing several years later than women with little or no schooling (IIPS and MoHFW, 2021).</w:t>
      </w:r>
    </w:p>
    <w:p>
      <w:pPr>
        <w:spacing w:after="200" w:before="0" w:line="312"/>
      </w:pPr>
      <w:r>
        <w:rPr>
          <w:rFonts w:ascii="Arial" w:cs="Arial" w:eastAsia="Arial" w:hAnsi="Arial"/>
          <w:b w:val="false"/>
          <w:bCs w:val="false"/>
          <w:i w:val="false"/>
          <w:iCs w:val="false"/>
          <w:color w:val="35302A"/>
          <w:sz w:val="23"/>
          <w:szCs w:val="23"/>
        </w:rPr>
        <w:t xml:space="preserve">The drivers of that postponement are economic and structural, and they are consistent across very different countries. The OECD attributes the delay to the cost and insecurity of establishing oneself in adulthood: housing that is expensive relative to young-adult incomes, childcare that is costly or scarce, longer years spent in education, and precarious or low-paid early employment (OECD, 2024). Alongside these sit the long rise in women’s educational attainment and labour-force participation, which both raises the opportunity cost of an early birth and reflects genuinely expanded choice, and a shift toward later partnership and marriage. None of these is irrational at the level of the individual. Together they push the decision to have a child later and later.</w:t>
      </w:r>
    </w:p>
    <w:p>
      <w:pPr>
        <w:spacing w:after="200" w:before="0" w:line="312"/>
      </w:pPr>
      <w:r>
        <w:rPr>
          <w:rFonts w:ascii="Arial" w:cs="Arial" w:eastAsia="Arial" w:hAnsi="Arial"/>
          <w:b w:val="false"/>
          <w:bCs w:val="false"/>
          <w:i w:val="false"/>
          <w:iCs w:val="false"/>
          <w:color w:val="35302A"/>
          <w:sz w:val="23"/>
          <w:szCs w:val="23"/>
        </w:rPr>
        <w:t xml:space="preserve">India is now travelling the same road. On census data, female literacy has risen from 54% in 2001 to 77% in 2021; urban living has expanded; marriage is occurring later; and women’s recorded participation in the labour force has been rising, although the measured increase is partly definitional and is best read as directional. Contraceptive prevalence among married women rose from 54% to 67% between the last two National Family Health Surveys (IIPS and MoHFW, 2021). The same forces that delayed childbearing in Europe a generation ago are now operating in India’s cities, which is why urban Indian fertility already sits well below the national figure. Changing patterns of partnership formation among younger cohorts are a further factor and an active area of research, though one where the evidence on specific causes is still developing and is best treated with caution.</w:t>
      </w:r>
    </w:p>
    <w:p>
      <w:pPr>
        <w:spacing w:after="200" w:before="0" w:line="312"/>
      </w:pPr>
      <w:r>
        <w:rPr>
          <w:rFonts w:ascii="Arial" w:cs="Arial" w:eastAsia="Arial" w:hAnsi="Arial"/>
          <w:b w:val="false"/>
          <w:bCs w:val="false"/>
          <w:i w:val="false"/>
          <w:iCs w:val="false"/>
          <w:color w:val="35302A"/>
          <w:sz w:val="23"/>
          <w:szCs w:val="23"/>
        </w:rPr>
        <w:t xml:space="preserve">The central point is that postponement is a rational and durable response to the economic conditions young adults face. It is not a fashion, and it is not readily reversed by encouragement or by modest financial incentives. That durability matters for what follows. Because postponement is structural, its consequences are structural too, and the most direct of those consequences is biological.</w:t>
      </w:r>
    </w:p>
    <w:p>
      <w:pPr>
        <w:keepNext/>
        <w:spacing w:after="170" w:before="420" w:line="300"/>
      </w:pPr>
      <w:r>
        <w:rPr>
          <w:rFonts w:ascii="Arial" w:cs="Arial" w:eastAsia="Arial" w:hAnsi="Arial"/>
          <w:b/>
          <w:bCs/>
          <w:color w:val="5D51C4"/>
          <w:sz w:val="28"/>
          <w:szCs w:val="28"/>
        </w:rPr>
        <w:t xml:space="preserve">5    </w:t>
      </w:r>
      <w:r>
        <w:rPr>
          <w:rFonts w:ascii="Arial" w:cs="Arial" w:eastAsia="Arial" w:hAnsi="Arial"/>
          <w:b/>
          <w:bCs/>
          <w:color w:val="2D2A26"/>
          <w:sz w:val="28"/>
          <w:szCs w:val="28"/>
        </w:rPr>
        <w:t xml:space="preserve">The Biological Collision</w:t>
      </w:r>
    </w:p>
    <w:p>
      <w:pPr>
        <w:spacing w:after="200" w:before="0" w:line="312"/>
      </w:pPr>
      <w:r>
        <w:rPr>
          <w:rFonts w:ascii="Arial" w:cs="Arial" w:eastAsia="Arial" w:hAnsi="Arial"/>
          <w:b w:val="false"/>
          <w:bCs w:val="false"/>
          <w:i w:val="false"/>
          <w:iCs w:val="false"/>
          <w:color w:val="35302A"/>
          <w:sz w:val="23"/>
          <w:szCs w:val="23"/>
        </w:rPr>
        <w:t xml:space="preserve">Postponing childbearing would carry little consequence for the individual if human fertility were stable across adult life. It is not. Female fertility declines with age in a way that is gradual at first and then steep. The American Society for Reproductive Medicine summarises the clinical consensus plainly: a woman’s fertility decreases gradually but significantly from around the age of 32, and decreases more rapidly after 37 (ASRM, 2014).</w:t>
      </w:r>
    </w:p>
    <w:p>
      <w:pPr>
        <w:spacing w:after="200" w:before="0" w:line="312"/>
      </w:pPr>
      <w:r>
        <w:rPr>
          <w:rFonts w:ascii="Arial" w:cs="Arial" w:eastAsia="Arial" w:hAnsi="Arial"/>
          <w:b w:val="false"/>
          <w:bCs w:val="false"/>
          <w:i w:val="false"/>
          <w:iCs w:val="false"/>
          <w:color w:val="35302A"/>
          <w:sz w:val="23"/>
          <w:szCs w:val="23"/>
        </w:rPr>
        <w:t xml:space="preserve">The decline operates through both the number and the quality of eggs. The probability of conceiving in any single month is roughly 20% to 25% for women in their twenties and early thirties, and falls to around 5% by the age of 40 (ACOG, 2025). The risk of miscarriage and of chromosomal abnormality rises over the same range. Professional guidance reflects this directly: where couples in which the woman is under 35 are advised to seek evaluation after twelve months of trying to conceive, those in which she is over 35 are advised to seek it after six (ASRM, 2014). The practical effect is that a couple beginning to try for a child in the mid-thirties faces materially lower odds per attempt, and materially higher risk of loss, than the same couple would have faced ten years earlier.</w:t>
      </w:r>
    </w:p>
    <w:p>
      <w:pPr>
        <w:spacing w:after="200" w:before="0" w:line="312"/>
      </w:pPr>
      <w:r>
        <w:rPr>
          <w:rFonts w:ascii="Arial" w:cs="Arial" w:eastAsia="Arial" w:hAnsi="Arial"/>
          <w:b w:val="false"/>
          <w:bCs w:val="false"/>
          <w:i w:val="false"/>
          <w:iCs w:val="false"/>
          <w:color w:val="35302A"/>
          <w:sz w:val="23"/>
          <w:szCs w:val="23"/>
        </w:rPr>
        <w:t xml:space="preserve">This is the collision at the centre of this paper. The economic logic set out in section four pushes childbearing later. Human biology makes conception harder in precisely the years into which it is being pushed. The two trends move against each other, and they meet in a growing population of couples who want children, begin trying later than earlier generations did, and find that conception does not come easily. At the scale of a whole society, that is a structural increase in the number of people who will seek medical help to conceive.</w:t>
      </w:r>
    </w:p>
    <w:p>
      <w:pPr>
        <w:spacing w:after="200" w:before="0" w:line="312"/>
      </w:pPr>
      <w:r>
        <w:rPr>
          <w:rFonts w:ascii="Arial" w:cs="Arial" w:eastAsia="Arial" w:hAnsi="Arial"/>
          <w:b w:val="false"/>
          <w:bCs w:val="false"/>
          <w:i w:val="false"/>
          <w:iCs w:val="false"/>
          <w:color w:val="35302A"/>
          <w:sz w:val="23"/>
          <w:szCs w:val="23"/>
        </w:rPr>
        <w:t xml:space="preserve">It is important to state clearly what this does and does not imply. It implies a structural, decades-long expansion in the demand for assisted reproduction, because that demand follows directly from the age structure of childbearing and from facts of human biology that are not in dispute. It does not imply that assisted reproduction can solve the demographic problem described earlier in this paper. Assisted reproduction raises the realised fertility of the couples who use it; it lifts the chance that a postponed intention to have a child becomes an actual child. But it operates on a minority of births, and it cannot lift a national fertility rate from well below replacement back to it. The demographic decline and the individual difficulty are distinct problems. The market this paper examines addresses the second, and it should not be sold as a solution to the first.</w:t>
      </w:r>
    </w:p>
    <w:p>
      <w:pPr>
        <w:spacing w:after="200" w:before="0" w:line="312"/>
      </w:pPr>
      <w:r>
        <w:rPr>
          <w:rFonts w:ascii="Arial" w:cs="Arial" w:eastAsia="Arial" w:hAnsi="Arial"/>
          <w:b w:val="false"/>
          <w:bCs w:val="false"/>
          <w:i w:val="false"/>
          <w:iCs w:val="false"/>
          <w:color w:val="35302A"/>
          <w:sz w:val="23"/>
          <w:szCs w:val="23"/>
        </w:rPr>
        <w:t xml:space="preserve">With that boundary drawn, the conclusion of the first half of this paper can be stated simply. The demographic shift is real and near-universal; its proximate cause is the postponement of childbearing; and postponement, colliding with the biology of age, converts into a structural and durable expansion of demand for fertility treatment. The remaining sections turn to the market that demand flows into, and to where, within it, value and friction actually sit.</w:t>
      </w:r>
    </w:p>
    <w:p>
      <w:pPr>
        <w:keepNext/>
        <w:spacing w:after="170" w:before="420" w:line="300"/>
      </w:pPr>
      <w:r>
        <w:rPr>
          <w:rFonts w:ascii="Arial" w:cs="Arial" w:eastAsia="Arial" w:hAnsi="Arial"/>
          <w:b/>
          <w:bCs/>
          <w:color w:val="5D51C4"/>
          <w:sz w:val="28"/>
          <w:szCs w:val="28"/>
        </w:rPr>
        <w:t xml:space="preserve">6    </w:t>
      </w:r>
      <w:r>
        <w:rPr>
          <w:rFonts w:ascii="Arial" w:cs="Arial" w:eastAsia="Arial" w:hAnsi="Arial"/>
          <w:b/>
          <w:bCs/>
          <w:color w:val="2D2A26"/>
          <w:sz w:val="28"/>
          <w:szCs w:val="28"/>
        </w:rPr>
        <w:t xml:space="preserve">The Assisted Reproduction Market</w:t>
      </w:r>
    </w:p>
    <w:p>
      <w:pPr>
        <w:spacing w:after="200" w:before="0" w:line="312"/>
      </w:pPr>
      <w:r>
        <w:rPr>
          <w:rFonts w:ascii="Arial" w:cs="Arial" w:eastAsia="Arial" w:hAnsi="Arial"/>
          <w:b w:val="false"/>
          <w:bCs w:val="false"/>
          <w:i w:val="false"/>
          <w:iCs w:val="false"/>
          <w:color w:val="35302A"/>
          <w:sz w:val="23"/>
          <w:szCs w:val="23"/>
        </w:rPr>
        <w:t xml:space="preserve">The demand created by delayed childbearing is large, measurable, and growing. The clearest institutional evidence comes from treatment-activity registries rather than from market forecasts. In Europe, the monitoring consortium of the European Society of Human Reproduction and Embryology has reported close to one million assisted-reproduction cycles per year across the countries that contribute to its registry, with each annual report documenting continued year-on-year growth (Smeenk et al., 2023). The trend over the consortium’s series, running since 1997, has been one of steady, sustained expansion.</w:t>
      </w:r>
    </w:p>
    <w:p>
      <w:pPr>
        <w:spacing w:after="200" w:before="0" w:line="312"/>
      </w:pPr>
      <w:r>
        <w:rPr>
          <w:rFonts w:ascii="Arial" w:cs="Arial" w:eastAsia="Arial" w:hAnsi="Arial"/>
          <w:b w:val="false"/>
          <w:bCs w:val="false"/>
          <w:i w:val="false"/>
          <w:iCs w:val="false"/>
          <w:color w:val="35302A"/>
          <w:sz w:val="23"/>
          <w:szCs w:val="23"/>
        </w:rPr>
        <w:t xml:space="preserve">Spain illustrates how far this has gone. Spain is the largest assisted-reproduction market in Europe, and its national activity registry recorded 167,195 in-vitro fertilisation cycles in 2022, alongside a further 31,635 intrauterine insemination cycles (Sociedad Española de Fertilidad, 2024). The figure that best captures the shift is this: roughly 12% of all children born in Spain in 2022 were conceived through assisted reproduction. Assisted reproduction in Spain is no longer a marginal medical service. It accounts for close to one birth in eight, and Spain’s liberal donor and access laws have also made it the leading destination for cross-border fertility care in Europe.</w:t>
      </w:r>
    </w:p>
    <w:p>
      <w:pPr>
        <w:spacing w:after="200" w:before="0" w:line="312"/>
      </w:pPr>
      <w:r>
        <w:rPr>
          <w:rFonts w:ascii="Arial" w:cs="Arial" w:eastAsia="Arial" w:hAnsi="Arial"/>
          <w:b w:val="false"/>
          <w:bCs w:val="false"/>
          <w:i w:val="false"/>
          <w:iCs w:val="false"/>
          <w:color w:val="35302A"/>
          <w:sz w:val="23"/>
          <w:szCs w:val="23"/>
        </w:rPr>
        <w:t xml:space="preserve">India is the major market at the opposite end of the penetration curve. India’s assisted-reproduction sector is widely described as one of the fastest-growing in the world, and a typical treatment cycle costs on the order of USD 3,000 to 5,000, against USD 12,000 to 20,000 or more in the United States. Industry estimates put the number of cycles performed in India each year at roughly 275,000, set against an infertile population estimated in the tens of millions; on those estimates, fewer than one in ten of the couples who might benefit are currently reached. These are industry estimates, and they should be read as such: India’s national registry, established under the Assisted Reproductive Technology (Regulation) Act of 2021, has not yet published audited national activity data. The direction, however, is not in doubt: a large, under-penetrated market growing quickly from a low base.</w:t>
      </w:r>
    </w:p>
    <w:p>
      <w:pPr>
        <w:spacing w:after="200" w:before="0" w:line="312"/>
      </w:pPr>
      <w:r>
        <w:rPr>
          <w:rFonts w:ascii="Arial" w:cs="Arial" w:eastAsia="Arial" w:hAnsi="Arial"/>
          <w:b w:val="false"/>
          <w:bCs w:val="false"/>
          <w:i w:val="false"/>
          <w:iCs w:val="false"/>
          <w:color w:val="35302A"/>
          <w:sz w:val="23"/>
          <w:szCs w:val="23"/>
        </w:rPr>
        <w:t xml:space="preserve">Commercial estimates of the market’s monetary value should be cited with particular caution, as they are not drawn from audited registries and vary widely by scope and method. They place the global in-vitro fertilisation market at roughly USD 25 billion in 2023, with projected growth toward USD 37 billion by 2030, a compound annual growth rate of around 5.5%; broader definitions covering the full range of fertility services run higher, from about USD 42 billion in 2023 to a projected USD 70 billion by 2030 (Grand View Research, 2024). Estimates for India’s market vary especially widely, from below USD 1 billion to above USD 2 billion for 2024, with projected annual growth rates between roughly 8% and 16%. These figures vary by a factor of two or more depending on what is counted, and the precise number matters less than the consistency of the direction.</w:t>
      </w:r>
    </w:p>
    <w:p>
      <w:pPr>
        <w:keepNext/>
        <w:spacing w:after="100" w:before="80"/>
      </w:pPr>
      <w:r>
        <w:rPr>
          <w:rFonts w:ascii="Arial" w:cs="Arial" w:eastAsia="Arial" w:hAnsi="Arial"/>
          <w:b/>
          <w:bCs/>
          <w:color w:val="5D51C4"/>
          <w:sz w:val="18"/>
          <w:szCs w:val="18"/>
        </w:rPr>
        <w:t xml:space="preserve">Table 2.  The assisted-reproduction market: indicative sizing and activity.</w:t>
      </w:r>
    </w:p>
    <w:tbl>
      <w:tblPr>
        <w:tblW w:type="dxa" w:w="8666"/>
        <w:tblBorders>
          <w:top w:val="single" w:color="E4DECF" w:sz="2"/>
          <w:left w:val="none"/>
          <w:bottom w:val="single" w:color="E4DECF" w:sz="2"/>
          <w:right w:val="none"/>
          <w:insideH w:val="single" w:color="EAE3D6" w:sz="2"/>
          <w:insideV w:val="none"/>
        </w:tblBorders>
        <w:tblLayout w:type="fixed"/>
      </w:tblPr>
      <w:tblGrid>
        <w:gridCol w:w="2120"/>
        <w:gridCol w:w="1730"/>
        <w:gridCol w:w="1730"/>
        <w:gridCol w:w="1086"/>
        <w:gridCol w:w="2000"/>
      </w:tblGrid>
      <w:tr>
        <w:trPr>
          <w:tblHeader/>
        </w:trPr>
        <w:tc>
          <w:tcPr>
            <w:tcW w:type="dxa" w:w="2120"/>
            <w:shd w:fill="5D51C4" w:color="auto" w:val="clear"/>
            <w:tcMar>
              <w:top w:type="dxa" w:w="80"/>
              <w:left w:type="dxa" w:w="120"/>
              <w:bottom w:type="dxa" w:w="80"/>
              <w:right w:type="dxa" w:w="120"/>
            </w:tcMar>
            <w:vAlign w:val="center"/>
          </w:tcPr>
          <w:p>
            <w:pPr>
              <w:spacing w:after="0" w:before="0" w:line="248"/>
              <w:jc w:val="left"/>
            </w:pPr>
            <w:r>
              <w:rPr>
                <w:rFonts w:ascii="Arial" w:cs="Arial" w:eastAsia="Arial" w:hAnsi="Arial"/>
                <w:b/>
                <w:bCs/>
                <w:color w:val="FFFFFF"/>
                <w:sz w:val="17"/>
                <w:szCs w:val="17"/>
              </w:rPr>
              <w:t xml:space="preserve">Segment</w:t>
            </w:r>
          </w:p>
        </w:tc>
        <w:tc>
          <w:tcPr>
            <w:tcW w:type="dxa" w:w="1730"/>
            <w:shd w:fill="5D51C4" w:color="auto" w:val="clear"/>
            <w:tcMar>
              <w:top w:type="dxa" w:w="80"/>
              <w:left w:type="dxa" w:w="120"/>
              <w:bottom w:type="dxa" w:w="80"/>
              <w:right w:type="dxa" w:w="120"/>
            </w:tcMar>
            <w:vAlign w:val="center"/>
          </w:tcPr>
          <w:p>
            <w:pPr>
              <w:spacing w:after="0" w:before="0" w:line="248"/>
              <w:jc w:val="center"/>
            </w:pPr>
            <w:r>
              <w:rPr>
                <w:rFonts w:ascii="Arial" w:cs="Arial" w:eastAsia="Arial" w:hAnsi="Arial"/>
                <w:b/>
                <w:bCs/>
                <w:color w:val="FFFFFF"/>
                <w:sz w:val="17"/>
                <w:szCs w:val="17"/>
              </w:rPr>
              <w:t xml:space="preserve">Current</w:t>
            </w:r>
          </w:p>
        </w:tc>
        <w:tc>
          <w:tcPr>
            <w:tcW w:type="dxa" w:w="1730"/>
            <w:shd w:fill="5D51C4" w:color="auto" w:val="clear"/>
            <w:tcMar>
              <w:top w:type="dxa" w:w="80"/>
              <w:left w:type="dxa" w:w="120"/>
              <w:bottom w:type="dxa" w:w="80"/>
              <w:right w:type="dxa" w:w="120"/>
            </w:tcMar>
            <w:vAlign w:val="center"/>
          </w:tcPr>
          <w:p>
            <w:pPr>
              <w:spacing w:after="0" w:before="0" w:line="248"/>
              <w:jc w:val="center"/>
            </w:pPr>
            <w:r>
              <w:rPr>
                <w:rFonts w:ascii="Arial" w:cs="Arial" w:eastAsia="Arial" w:hAnsi="Arial"/>
                <w:b/>
                <w:bCs/>
                <w:color w:val="FFFFFF"/>
                <w:sz w:val="17"/>
                <w:szCs w:val="17"/>
              </w:rPr>
              <w:t xml:space="preserve">Projected</w:t>
            </w:r>
          </w:p>
        </w:tc>
        <w:tc>
          <w:tcPr>
            <w:tcW w:type="dxa" w:w="1086"/>
            <w:shd w:fill="5D51C4" w:color="auto" w:val="clear"/>
            <w:tcMar>
              <w:top w:type="dxa" w:w="80"/>
              <w:left w:type="dxa" w:w="120"/>
              <w:bottom w:type="dxa" w:w="80"/>
              <w:right w:type="dxa" w:w="120"/>
            </w:tcMar>
            <w:vAlign w:val="center"/>
          </w:tcPr>
          <w:p>
            <w:pPr>
              <w:spacing w:after="0" w:before="0" w:line="248"/>
              <w:jc w:val="center"/>
            </w:pPr>
            <w:r>
              <w:rPr>
                <w:rFonts w:ascii="Arial" w:cs="Arial" w:eastAsia="Arial" w:hAnsi="Arial"/>
                <w:b/>
                <w:bCs/>
                <w:color w:val="FFFFFF"/>
                <w:sz w:val="17"/>
                <w:szCs w:val="17"/>
              </w:rPr>
              <w:t xml:space="preserve">Growth</w:t>
            </w:r>
          </w:p>
        </w:tc>
        <w:tc>
          <w:tcPr>
            <w:tcW w:type="dxa" w:w="2000"/>
            <w:shd w:fill="5D51C4" w:color="auto" w:val="clear"/>
            <w:tcMar>
              <w:top w:type="dxa" w:w="80"/>
              <w:left w:type="dxa" w:w="120"/>
              <w:bottom w:type="dxa" w:w="80"/>
              <w:right w:type="dxa" w:w="120"/>
            </w:tcMar>
            <w:vAlign w:val="center"/>
          </w:tcPr>
          <w:p>
            <w:pPr>
              <w:spacing w:after="0" w:before="0" w:line="248"/>
              <w:jc w:val="left"/>
            </w:pPr>
            <w:r>
              <w:rPr>
                <w:rFonts w:ascii="Arial" w:cs="Arial" w:eastAsia="Arial" w:hAnsi="Arial"/>
                <w:b/>
                <w:bCs/>
                <w:color w:val="FFFFFF"/>
                <w:sz w:val="17"/>
                <w:szCs w:val="17"/>
              </w:rPr>
              <w:t xml:space="preserve">Basis</w:t>
            </w:r>
          </w:p>
        </w:tc>
      </w:tr>
      <w:tr>
        <w:tc>
          <w:tcPr>
            <w:tcW w:type="dxa" w:w="2120"/>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Global IVF market</w:t>
            </w:r>
          </w:p>
        </w:tc>
        <w:tc>
          <w:tcPr>
            <w:tcW w:type="dxa" w:w="1730"/>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USD 25.3 bn (2023)</w:t>
            </w:r>
          </w:p>
        </w:tc>
        <w:tc>
          <w:tcPr>
            <w:tcW w:type="dxa" w:w="1730"/>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USD 37.4 bn (2030)</w:t>
            </w:r>
          </w:p>
        </w:tc>
        <w:tc>
          <w:tcPr>
            <w:tcW w:type="dxa" w:w="1086"/>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5.5% CAGR</w:t>
            </w:r>
          </w:p>
        </w:tc>
        <w:tc>
          <w:tcPr>
            <w:tcW w:type="dxa" w:w="2000"/>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Commercial estimate</w:t>
            </w:r>
          </w:p>
        </w:tc>
      </w:tr>
      <w:tr>
        <w:tc>
          <w:tcPr>
            <w:tcW w:type="dxa" w:w="2120"/>
            <w:shd w:fill="F4F0E8"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Global fertility services</w:t>
            </w:r>
          </w:p>
        </w:tc>
        <w:tc>
          <w:tcPr>
            <w:tcW w:type="dxa" w:w="1730"/>
            <w:shd w:fill="F4F0E8"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USD 42.2 bn (2023)</w:t>
            </w:r>
          </w:p>
        </w:tc>
        <w:tc>
          <w:tcPr>
            <w:tcW w:type="dxa" w:w="1730"/>
            <w:shd w:fill="F4F0E8"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USD 70.3 bn (2030)</w:t>
            </w:r>
          </w:p>
        </w:tc>
        <w:tc>
          <w:tcPr>
            <w:tcW w:type="dxa" w:w="1086"/>
            <w:shd w:fill="F4F0E8"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7.5% CAGR</w:t>
            </w:r>
          </w:p>
        </w:tc>
        <w:tc>
          <w:tcPr>
            <w:tcW w:type="dxa" w:w="2000"/>
            <w:shd w:fill="F4F0E8"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Commercial estimate</w:t>
            </w:r>
          </w:p>
        </w:tc>
      </w:tr>
      <w:tr>
        <w:tc>
          <w:tcPr>
            <w:tcW w:type="dxa" w:w="2120"/>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India IVF and fertility services</w:t>
            </w:r>
          </w:p>
        </w:tc>
        <w:tc>
          <w:tcPr>
            <w:tcW w:type="dxa" w:w="1730"/>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USD 0.9–2.35 bn (2024)</w:t>
            </w:r>
          </w:p>
        </w:tc>
        <w:tc>
          <w:tcPr>
            <w:tcW w:type="dxa" w:w="1730"/>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Through 2030–2034</w:t>
            </w:r>
          </w:p>
        </w:tc>
        <w:tc>
          <w:tcPr>
            <w:tcW w:type="dxa" w:w="1086"/>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8–16% CAGR</w:t>
            </w:r>
          </w:p>
        </w:tc>
        <w:tc>
          <w:tcPr>
            <w:tcW w:type="dxa" w:w="2000"/>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Commercial estimate; wide range</w:t>
            </w:r>
          </w:p>
        </w:tc>
      </w:tr>
      <w:tr>
        <w:tc>
          <w:tcPr>
            <w:tcW w:type="dxa" w:w="2120"/>
            <w:shd w:fill="F4F0E8"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ART cycles, Europe</w:t>
            </w:r>
          </w:p>
        </w:tc>
        <w:tc>
          <w:tcPr>
            <w:tcW w:type="dxa" w:w="1730"/>
            <w:shd w:fill="F4F0E8"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Close to 1 million per year</w:t>
            </w:r>
          </w:p>
        </w:tc>
        <w:tc>
          <w:tcPr>
            <w:tcW w:type="dxa" w:w="1730"/>
            <w:shd w:fill="F4F0E8"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Rising year on year</w:t>
            </w:r>
          </w:p>
        </w:tc>
        <w:tc>
          <w:tcPr>
            <w:tcW w:type="dxa" w:w="1086"/>
            <w:shd w:fill="F4F0E8"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n/a</w:t>
            </w:r>
          </w:p>
        </w:tc>
        <w:tc>
          <w:tcPr>
            <w:tcW w:type="dxa" w:w="2000"/>
            <w:shd w:fill="F4F0E8"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Institutional registry</w:t>
            </w:r>
          </w:p>
        </w:tc>
      </w:tr>
      <w:tr>
        <w:tc>
          <w:tcPr>
            <w:tcW w:type="dxa" w:w="2120"/>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IVF cycles, Spain</w:t>
            </w:r>
          </w:p>
        </w:tc>
        <w:tc>
          <w:tcPr>
            <w:tcW w:type="dxa" w:w="1730"/>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167,195 (2022)</w:t>
            </w:r>
          </w:p>
        </w:tc>
        <w:tc>
          <w:tcPr>
            <w:tcW w:type="dxa" w:w="1730"/>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Rising year on year</w:t>
            </w:r>
          </w:p>
        </w:tc>
        <w:tc>
          <w:tcPr>
            <w:tcW w:type="dxa" w:w="1086"/>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n/a</w:t>
            </w:r>
          </w:p>
        </w:tc>
        <w:tc>
          <w:tcPr>
            <w:tcW w:type="dxa" w:w="2000"/>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National registry</w:t>
            </w:r>
          </w:p>
        </w:tc>
      </w:tr>
    </w:tbl>
    <w:p>
      <w:pPr>
        <w:spacing w:after="220" w:before="110" w:line="240"/>
      </w:pPr>
      <w:r>
        <w:rPr>
          <w:rFonts w:ascii="Arial" w:cs="Arial" w:eastAsia="Arial" w:hAnsi="Arial"/>
          <w:b w:val="false"/>
          <w:bCs w:val="false"/>
          <w:i/>
          <w:iCs/>
          <w:color w:val="9C8F7C"/>
          <w:sz w:val="17"/>
          <w:szCs w:val="17"/>
        </w:rPr>
        <w:t xml:space="preserve">Sources: monetary values from commercial market research (Grand View Research, 2024, among other firms); cycle counts from Smeenk et al. (2023) and Sociedad Española de Fertilidad (2024). Commercial estimates vary by a factor of two or more depending on scope and method; the cycle counts are drawn from audited registries and are the firmer evidence.</w:t>
      </w:r>
    </w:p>
    <w:p>
      <w:pPr>
        <w:spacing w:after="200" w:before="0" w:line="312"/>
      </w:pPr>
      <w:r>
        <w:rPr>
          <w:rFonts w:ascii="Arial" w:cs="Arial" w:eastAsia="Arial" w:hAnsi="Arial"/>
          <w:b w:val="false"/>
          <w:bCs w:val="false"/>
          <w:i w:val="false"/>
          <w:iCs w:val="false"/>
          <w:color w:val="35302A"/>
          <w:sz w:val="23"/>
          <w:szCs w:val="23"/>
        </w:rPr>
        <w:t xml:space="preserve">The reason that direction is so consistent is the subject of the first half of this paper. The growth of assisted reproduction is not a product cycle or a passing trend. It is the market expression of a demographic and biological shift that is already visible in the data and that will run for decades. The strategic question is therefore not whether the market will grow. It is what kind of industry the growth flows through, and where, within that industry, the value and the friction sit.</w:t>
      </w:r>
    </w:p>
    <w:p>
      <w:pPr>
        <w:keepNext/>
        <w:spacing w:after="170" w:before="420" w:line="300"/>
      </w:pPr>
      <w:r>
        <w:rPr>
          <w:rFonts w:ascii="Arial" w:cs="Arial" w:eastAsia="Arial" w:hAnsi="Arial"/>
          <w:b/>
          <w:bCs/>
          <w:color w:val="5D51C4"/>
          <w:sz w:val="28"/>
          <w:szCs w:val="28"/>
        </w:rPr>
        <w:t xml:space="preserve">7    </w:t>
      </w:r>
      <w:r>
        <w:rPr>
          <w:rFonts w:ascii="Arial" w:cs="Arial" w:eastAsia="Arial" w:hAnsi="Arial"/>
          <w:b/>
          <w:bCs/>
          <w:color w:val="2D2A26"/>
          <w:sz w:val="28"/>
          <w:szCs w:val="28"/>
        </w:rPr>
        <w:t xml:space="preserve">The Structure of the Clinic Industry</w:t>
      </w:r>
    </w:p>
    <w:p>
      <w:pPr>
        <w:spacing w:after="200" w:before="0" w:line="312"/>
      </w:pPr>
      <w:r>
        <w:rPr>
          <w:rFonts w:ascii="Arial" w:cs="Arial" w:eastAsia="Arial" w:hAnsi="Arial"/>
          <w:b w:val="false"/>
          <w:bCs w:val="false"/>
          <w:i w:val="false"/>
          <w:iCs w:val="false"/>
          <w:color w:val="35302A"/>
          <w:sz w:val="23"/>
          <w:szCs w:val="23"/>
        </w:rPr>
        <w:t xml:space="preserve">Demand for assisted reproduction flows almost entirely through one channel: the fertility clinic. The structure of the clinic industry therefore determines where, in this growing market, value accumulates and where friction concentrates. Three features of that structure matter for this paper.</w:t>
      </w:r>
    </w:p>
    <w:p>
      <w:pPr>
        <w:spacing w:after="200" w:before="0" w:line="312"/>
      </w:pPr>
      <w:r>
        <w:rPr>
          <w:rFonts w:ascii="Arial" w:cs="Arial" w:eastAsia="Arial" w:hAnsi="Arial"/>
          <w:b w:val="false"/>
          <w:bCs w:val="false"/>
          <w:i w:val="false"/>
          <w:iCs w:val="false"/>
          <w:color w:val="35302A"/>
          <w:sz w:val="23"/>
          <w:szCs w:val="23"/>
        </w:rPr>
        <w:t xml:space="preserve">The first is that the industry is fragmented, and consolidating. Fertility care has historically been delivered by a large number of independent clinics of widely varying scale. That fragmentation is now being actively reduced by private capital. Industry data records 41 private-equity buyouts worth about USD 8.4 billion in the sector in 2023 alone, including the acquisition of the IVI-RMA group, one of the largest fertility networks in the world, for around USD 3.2 billion, and BPEA EQT taking a majority stake in Indira IVF, India’s largest chain, at an enterprise value of roughly USD 1.1 billion (PitchBook, 2024). Research on the United States market has found that private-equity-affiliated practices, although about 14.7% of clinics, already perform close to 30% of all treatment cycles (Borsa and Bruch, 2022). The independent clinic is giving way to the chain.</w:t>
      </w:r>
    </w:p>
    <w:p>
      <w:pPr>
        <w:keepNext/>
        <w:spacing w:after="100" w:before="80"/>
      </w:pPr>
      <w:r>
        <w:rPr>
          <w:rFonts w:ascii="Arial" w:cs="Arial" w:eastAsia="Arial" w:hAnsi="Arial"/>
          <w:b/>
          <w:bCs/>
          <w:color w:val="5D51C4"/>
          <w:sz w:val="18"/>
          <w:szCs w:val="18"/>
        </w:rPr>
        <w:t xml:space="preserve">Table 3.  Selected private-equity activity in fertility services, 2023.</w:t>
      </w:r>
    </w:p>
    <w:tbl>
      <w:tblPr>
        <w:tblW w:type="dxa" w:w="8666"/>
        <w:tblBorders>
          <w:top w:val="single" w:color="E4DECF" w:sz="2"/>
          <w:left w:val="none"/>
          <w:bottom w:val="single" w:color="E4DECF" w:sz="2"/>
          <w:right w:val="none"/>
          <w:insideH w:val="single" w:color="EAE3D6" w:sz="2"/>
          <w:insideV w:val="none"/>
        </w:tblBorders>
        <w:tblLayout w:type="fixed"/>
      </w:tblPr>
      <w:tblGrid>
        <w:gridCol w:w="3640"/>
        <w:gridCol w:w="1960"/>
        <w:gridCol w:w="1600"/>
        <w:gridCol w:w="1466"/>
      </w:tblGrid>
      <w:tr>
        <w:trPr>
          <w:tblHeader/>
        </w:trPr>
        <w:tc>
          <w:tcPr>
            <w:tcW w:type="dxa" w:w="3640"/>
            <w:shd w:fill="5D51C4" w:color="auto" w:val="clear"/>
            <w:tcMar>
              <w:top w:type="dxa" w:w="80"/>
              <w:left w:type="dxa" w:w="120"/>
              <w:bottom w:type="dxa" w:w="80"/>
              <w:right w:type="dxa" w:w="120"/>
            </w:tcMar>
            <w:vAlign w:val="center"/>
          </w:tcPr>
          <w:p>
            <w:pPr>
              <w:spacing w:after="0" w:before="0" w:line="248"/>
              <w:jc w:val="left"/>
            </w:pPr>
            <w:r>
              <w:rPr>
                <w:rFonts w:ascii="Arial" w:cs="Arial" w:eastAsia="Arial" w:hAnsi="Arial"/>
                <w:b/>
                <w:bCs/>
                <w:color w:val="FFFFFF"/>
                <w:sz w:val="17"/>
                <w:szCs w:val="17"/>
              </w:rPr>
              <w:t xml:space="preserve">Transaction</w:t>
            </w:r>
          </w:p>
        </w:tc>
        <w:tc>
          <w:tcPr>
            <w:tcW w:type="dxa" w:w="1960"/>
            <w:shd w:fill="5D51C4" w:color="auto" w:val="clear"/>
            <w:tcMar>
              <w:top w:type="dxa" w:w="80"/>
              <w:left w:type="dxa" w:w="120"/>
              <w:bottom w:type="dxa" w:w="80"/>
              <w:right w:type="dxa" w:w="120"/>
            </w:tcMar>
            <w:vAlign w:val="center"/>
          </w:tcPr>
          <w:p>
            <w:pPr>
              <w:spacing w:after="0" w:before="0" w:line="248"/>
              <w:jc w:val="left"/>
            </w:pPr>
            <w:r>
              <w:rPr>
                <w:rFonts w:ascii="Arial" w:cs="Arial" w:eastAsia="Arial" w:hAnsi="Arial"/>
                <w:b/>
                <w:bCs/>
                <w:color w:val="FFFFFF"/>
                <w:sz w:val="17"/>
                <w:szCs w:val="17"/>
              </w:rPr>
              <w:t xml:space="preserve">Approximate value</w:t>
            </w:r>
          </w:p>
        </w:tc>
        <w:tc>
          <w:tcPr>
            <w:tcW w:type="dxa" w:w="1600"/>
            <w:shd w:fill="5D51C4" w:color="auto" w:val="clear"/>
            <w:tcMar>
              <w:top w:type="dxa" w:w="80"/>
              <w:left w:type="dxa" w:w="120"/>
              <w:bottom w:type="dxa" w:w="80"/>
              <w:right w:type="dxa" w:w="120"/>
            </w:tcMar>
            <w:vAlign w:val="center"/>
          </w:tcPr>
          <w:p>
            <w:pPr>
              <w:spacing w:after="0" w:before="0" w:line="248"/>
              <w:jc w:val="left"/>
            </w:pPr>
            <w:r>
              <w:rPr>
                <w:rFonts w:ascii="Arial" w:cs="Arial" w:eastAsia="Arial" w:hAnsi="Arial"/>
                <w:b/>
                <w:bCs/>
                <w:color w:val="FFFFFF"/>
                <w:sz w:val="17"/>
                <w:szCs w:val="17"/>
              </w:rPr>
              <w:t xml:space="preserve">Region</w:t>
            </w:r>
          </w:p>
        </w:tc>
        <w:tc>
          <w:tcPr>
            <w:tcW w:type="dxa" w:w="1466"/>
            <w:shd w:fill="5D51C4" w:color="auto" w:val="clear"/>
            <w:tcMar>
              <w:top w:type="dxa" w:w="80"/>
              <w:left w:type="dxa" w:w="120"/>
              <w:bottom w:type="dxa" w:w="80"/>
              <w:right w:type="dxa" w:w="120"/>
            </w:tcMar>
            <w:vAlign w:val="center"/>
          </w:tcPr>
          <w:p>
            <w:pPr>
              <w:spacing w:after="0" w:before="0" w:line="248"/>
              <w:jc w:val="center"/>
            </w:pPr>
            <w:r>
              <w:rPr>
                <w:rFonts w:ascii="Arial" w:cs="Arial" w:eastAsia="Arial" w:hAnsi="Arial"/>
                <w:b/>
                <w:bCs/>
                <w:color w:val="FFFFFF"/>
                <w:sz w:val="17"/>
                <w:szCs w:val="17"/>
              </w:rPr>
              <w:t xml:space="preserve">Year</w:t>
            </w:r>
          </w:p>
        </w:tc>
      </w:tr>
      <w:tr>
        <w:tc>
          <w:tcPr>
            <w:tcW w:type="dxa" w:w="3640"/>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KKR acquires the IVI-RMA group</w:t>
            </w:r>
          </w:p>
        </w:tc>
        <w:tc>
          <w:tcPr>
            <w:tcW w:type="dxa" w:w="1960"/>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USD 3.2 bn</w:t>
            </w:r>
          </w:p>
        </w:tc>
        <w:tc>
          <w:tcPr>
            <w:tcW w:type="dxa" w:w="1600"/>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Europe and global</w:t>
            </w:r>
          </w:p>
        </w:tc>
        <w:tc>
          <w:tcPr>
            <w:tcW w:type="dxa" w:w="1466"/>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2023</w:t>
            </w:r>
          </w:p>
        </w:tc>
      </w:tr>
      <w:tr>
        <w:tc>
          <w:tcPr>
            <w:tcW w:type="dxa" w:w="3640"/>
            <w:shd w:fill="F4F0E8"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BPEA EQT takes a majority stake in Indira IVF</w:t>
            </w:r>
          </w:p>
        </w:tc>
        <w:tc>
          <w:tcPr>
            <w:tcW w:type="dxa" w:w="1960"/>
            <w:shd w:fill="F4F0E8"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USD 1.1 bn enterprise value</w:t>
            </w:r>
          </w:p>
        </w:tc>
        <w:tc>
          <w:tcPr>
            <w:tcW w:type="dxa" w:w="1600"/>
            <w:shd w:fill="F4F0E8"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India</w:t>
            </w:r>
          </w:p>
        </w:tc>
        <w:tc>
          <w:tcPr>
            <w:tcW w:type="dxa" w:w="1466"/>
            <w:shd w:fill="F4F0E8"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2023</w:t>
            </w:r>
          </w:p>
        </w:tc>
      </w:tr>
      <w:tr>
        <w:tc>
          <w:tcPr>
            <w:tcW w:type="dxa" w:w="3640"/>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IVI-RMA acquires the Eugin group (69 clinics, 11 countries)</w:t>
            </w:r>
          </w:p>
        </w:tc>
        <w:tc>
          <w:tcPr>
            <w:tcW w:type="dxa" w:w="1960"/>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USD 534 m</w:t>
            </w:r>
          </w:p>
        </w:tc>
        <w:tc>
          <w:tcPr>
            <w:tcW w:type="dxa" w:w="1600"/>
            <w:shd w:fill="FFFFFF"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Europe</w:t>
            </w:r>
          </w:p>
        </w:tc>
        <w:tc>
          <w:tcPr>
            <w:tcW w:type="dxa" w:w="1466"/>
            <w:shd w:fill="FFFFFF"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2023</w:t>
            </w:r>
          </w:p>
        </w:tc>
      </w:tr>
      <w:tr>
        <w:tc>
          <w:tcPr>
            <w:tcW w:type="dxa" w:w="3640"/>
            <w:shd w:fill="F4F0E8"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Private-equity buyouts across the sector</w:t>
            </w:r>
          </w:p>
        </w:tc>
        <w:tc>
          <w:tcPr>
            <w:tcW w:type="dxa" w:w="1960"/>
            <w:shd w:fill="F4F0E8"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USD 8.4 bn, 41 deals</w:t>
            </w:r>
          </w:p>
        </w:tc>
        <w:tc>
          <w:tcPr>
            <w:tcW w:type="dxa" w:w="1600"/>
            <w:shd w:fill="F4F0E8" w:color="auto" w:val="clear"/>
            <w:tcMar>
              <w:top w:type="dxa" w:w="80"/>
              <w:left w:type="dxa" w:w="120"/>
              <w:bottom w:type="dxa" w:w="80"/>
              <w:right w:type="dxa" w:w="120"/>
            </w:tcMar>
            <w:vAlign w:val="center"/>
          </w:tcPr>
          <w:p>
            <w:pPr>
              <w:spacing w:after="0" w:before="0" w:line="248"/>
              <w:jc w:val="left"/>
            </w:pPr>
            <w:r>
              <w:rPr>
                <w:rFonts w:ascii="Arial" w:cs="Arial" w:eastAsia="Arial" w:hAnsi="Arial"/>
                <w:b w:val="false"/>
                <w:bCs w:val="false"/>
                <w:color w:val="35302A"/>
                <w:sz w:val="18"/>
                <w:szCs w:val="18"/>
              </w:rPr>
              <w:t xml:space="preserve">Global</w:t>
            </w:r>
          </w:p>
        </w:tc>
        <w:tc>
          <w:tcPr>
            <w:tcW w:type="dxa" w:w="1466"/>
            <w:shd w:fill="F4F0E8" w:color="auto" w:val="clear"/>
            <w:tcMar>
              <w:top w:type="dxa" w:w="80"/>
              <w:left w:type="dxa" w:w="120"/>
              <w:bottom w:type="dxa" w:w="80"/>
              <w:right w:type="dxa" w:w="120"/>
            </w:tcMar>
            <w:vAlign w:val="center"/>
          </w:tcPr>
          <w:p>
            <w:pPr>
              <w:spacing w:after="0" w:before="0" w:line="248"/>
              <w:jc w:val="center"/>
            </w:pPr>
            <w:r>
              <w:rPr>
                <w:rFonts w:ascii="Arial" w:cs="Arial" w:eastAsia="Arial" w:hAnsi="Arial"/>
                <w:b w:val="false"/>
                <w:bCs w:val="false"/>
                <w:color w:val="35302A"/>
                <w:sz w:val="18"/>
                <w:szCs w:val="18"/>
              </w:rPr>
              <w:t xml:space="preserve">2023</w:t>
            </w:r>
          </w:p>
        </w:tc>
      </w:tr>
    </w:tbl>
    <w:p>
      <w:pPr>
        <w:spacing w:after="220" w:before="110" w:line="240"/>
      </w:pPr>
      <w:r>
        <w:rPr>
          <w:rFonts w:ascii="Arial" w:cs="Arial" w:eastAsia="Arial" w:hAnsi="Arial"/>
          <w:b w:val="false"/>
          <w:bCs w:val="false"/>
          <w:i/>
          <w:iCs/>
          <w:color w:val="9C8F7C"/>
          <w:sz w:val="17"/>
          <w:szCs w:val="17"/>
        </w:rPr>
        <w:t xml:space="preserve">Source: PitchBook (2024). Separately, research on the United States market found that private-equity-affiliated practices were about 14.7% of fertility clinics but performed close to 30% of all IVF cycles (Borsa and Bruch, 2022). Values are approximate and as reported.</w:t>
      </w:r>
    </w:p>
    <w:p>
      <w:pPr>
        <w:spacing w:after="200" w:before="0" w:line="312"/>
      </w:pPr>
      <w:r>
        <w:rPr>
          <w:rFonts w:ascii="Arial" w:cs="Arial" w:eastAsia="Arial" w:hAnsi="Arial"/>
          <w:b w:val="false"/>
          <w:bCs w:val="false"/>
          <w:i w:val="false"/>
          <w:iCs w:val="false"/>
          <w:color w:val="35302A"/>
          <w:sz w:val="23"/>
          <w:szCs w:val="23"/>
        </w:rPr>
        <w:t xml:space="preserve">The second feature is capacity. Assisted reproduction depends on a scarce specialist workforce: reproductive endocrinologists, and the embryologists who run the laboratories. That workforce cannot be expanded quickly, because training it takes years. The constraint is visible in the distribution of activity: in the United States, only about 135 of more than 450 fertility clinics perform more than 500 cycles a year, and only around 70 perform more than 1,000 (PitchBook, 2024). Most European countries fall short of widely-cited benchmarks for adequate provision. Demand, driven by the demographic forces described above, is growing faster than the supply of specialists and laboratory capacity available to meet it.</w:t>
      </w:r>
    </w:p>
    <w:p>
      <w:pPr>
        <w:spacing w:after="200" w:before="0" w:line="312"/>
      </w:pPr>
      <w:r>
        <w:rPr>
          <w:rFonts w:ascii="Arial" w:cs="Arial" w:eastAsia="Arial" w:hAnsi="Arial"/>
          <w:b w:val="false"/>
          <w:bCs w:val="false"/>
          <w:i w:val="false"/>
          <w:iCs w:val="false"/>
          <w:color w:val="35302A"/>
          <w:sz w:val="23"/>
          <w:szCs w:val="23"/>
        </w:rPr>
        <w:t xml:space="preserve">The third feature is the one most relevant to this paper. Clinics, and the private capital now consolidating them, compete and invest overwhelmingly on the medical and laboratory side of treatment: stimulation protocols, embryology, the laboratory, and increasingly the artificial-intelligence tools used to assess embryos. That is where the perceived value of a clinic sits, and it is where acquisition and investment concentrate. The patient experience, by contrast, is comparatively neglected. The long and burdensome journey a patient lives between and around clinical appointments, the coordination of testing and medication, the emotional weight of treatment, the financial opacity, and the decision of whether to continue after a setback, is owned by no part of the standard operating model. It is the least-defended part of the value chain.</w:t>
      </w:r>
    </w:p>
    <w:p>
      <w:pPr>
        <w:spacing w:after="200" w:before="0" w:line="312"/>
      </w:pPr>
      <w:r>
        <w:rPr>
          <w:rFonts w:ascii="Arial" w:cs="Arial" w:eastAsia="Arial" w:hAnsi="Arial"/>
          <w:b w:val="false"/>
          <w:bCs w:val="false"/>
          <w:i w:val="false"/>
          <w:iCs w:val="false"/>
          <w:color w:val="35302A"/>
          <w:sz w:val="23"/>
          <w:szCs w:val="23"/>
        </w:rPr>
        <w:t xml:space="preserve">This is the shape of the industry that the growing market flows through: fragmenting ownership consolidating into chains, a specialist workforce that cannot scale at the speed of demand, and competition concentrated on the medical core while the patient experience is left largely unattended. That combination defines a strategic gap, which the next section sets out.</w:t>
      </w:r>
    </w:p>
    <w:p>
      <w:pPr>
        <w:keepNext/>
        <w:spacing w:after="170" w:before="420" w:line="300"/>
      </w:pPr>
      <w:r>
        <w:rPr>
          <w:rFonts w:ascii="Arial" w:cs="Arial" w:eastAsia="Arial" w:hAnsi="Arial"/>
          <w:b/>
          <w:bCs/>
          <w:color w:val="5D51C4"/>
          <w:sz w:val="28"/>
          <w:szCs w:val="28"/>
        </w:rPr>
        <w:t xml:space="preserve">8    </w:t>
      </w:r>
      <w:r>
        <w:rPr>
          <w:rFonts w:ascii="Arial" w:cs="Arial" w:eastAsia="Arial" w:hAnsi="Arial"/>
          <w:b/>
          <w:bCs/>
          <w:color w:val="2D2A26"/>
          <w:sz w:val="28"/>
          <w:szCs w:val="28"/>
        </w:rPr>
        <w:t xml:space="preserve">The Strategic Gap</w:t>
      </w:r>
    </w:p>
    <w:p>
      <w:pPr>
        <w:spacing w:after="200" w:before="0" w:line="312"/>
      </w:pPr>
      <w:r>
        <w:rPr>
          <w:rFonts w:ascii="Arial" w:cs="Arial" w:eastAsia="Arial" w:hAnsi="Arial"/>
          <w:b w:val="false"/>
          <w:bCs w:val="false"/>
          <w:i w:val="false"/>
          <w:iCs w:val="false"/>
          <w:color w:val="35302A"/>
          <w:sz w:val="23"/>
          <w:szCs w:val="23"/>
        </w:rPr>
        <w:t xml:space="preserve">In a market growing for structural reasons and consolidating into chains, the question that matters for any participant is where durable advantage can be built. The medicine itself is not that place. Clinical protocols, laboratory technique, and embryo-assessment tools are where every clinic and every chain already competes and invests. Advantage there is real but contested, and increasingly capital-intensive. The under-served ground is elsewhere. It is the patient.</w:t>
      </w:r>
    </w:p>
    <w:p>
      <w:pPr>
        <w:spacing w:after="200" w:before="0" w:line="312"/>
      </w:pPr>
      <w:r>
        <w:rPr>
          <w:rFonts w:ascii="Arial" w:cs="Arial" w:eastAsia="Arial" w:hAnsi="Arial"/>
          <w:b w:val="false"/>
          <w:bCs w:val="false"/>
          <w:i w:val="false"/>
          <w:iCs w:val="false"/>
          <w:color w:val="35302A"/>
          <w:sz w:val="23"/>
          <w:szCs w:val="23"/>
        </w:rPr>
        <w:t xml:space="preserve">The patient layer matters commercially for a specific reason. In a consolidating industry, where clinical quality converges and chains compete for the same patients, two things differentiate a clinic or a chain: the experience it offers, and the outcomes its patients actually achieve. Those two are linked, and they are linked through retention. A substantial share of patients who begin assisted-reproduction treatment stop before they have exhausted their realistic medical chances. Studies of fertility patients put that share, depending on the health system and the definition used, commonly between one in five and one in three after an unsuccessful cycle, and the reasons patients give are predominantly to do with the burden and experience of treatment rather than its cost or a definitive medical verdict (Gameiro et al., 2012). Every patient who discontinues avoidably is both a worse clinical outcome and lost clinic revenue. The patient experience is therefore not a soft concern adjacent to the business. It is directly tied to the economics of the clinic and to the results the market is judged on.</w:t>
      </w:r>
    </w:p>
    <w:p>
      <w:pPr>
        <w:spacing w:after="200" w:before="0" w:line="312"/>
      </w:pPr>
      <w:r>
        <w:rPr>
          <w:rFonts w:ascii="Arial" w:cs="Arial" w:eastAsia="Arial" w:hAnsi="Arial"/>
          <w:b w:val="false"/>
          <w:bCs w:val="false"/>
          <w:i w:val="false"/>
          <w:iCs w:val="false"/>
          <w:color w:val="35302A"/>
          <w:sz w:val="23"/>
          <w:szCs w:val="23"/>
        </w:rPr>
        <w:t xml:space="preserve">Yet this layer is structurally under-served, for reasons section seven made clear. Clinics are built, staffed, and reimbursed for the clinical encounter, not for the inter-cycle experience that surrounds it. The private capital consolidating the industry optimises the medical asset it has acquired. And the consumer technology that patients reach for in the gap, the fertility and cycle-tracking applications available to anyone, is generic and not clinically governed, and is a poor substitute for support connected to the clinic actually providing care. The patient-experience layer is owned by no one.</w:t>
      </w:r>
    </w:p>
    <w:p>
      <w:pPr>
        <w:spacing w:after="200" w:before="0" w:line="312"/>
      </w:pPr>
      <w:r>
        <w:rPr>
          <w:rFonts w:ascii="Arial" w:cs="Arial" w:eastAsia="Arial" w:hAnsi="Arial"/>
          <w:b w:val="false"/>
          <w:bCs w:val="false"/>
          <w:i w:val="false"/>
          <w:iCs w:val="false"/>
          <w:color w:val="35302A"/>
          <w:sz w:val="23"/>
          <w:szCs w:val="23"/>
        </w:rPr>
        <w:t xml:space="preserve">A layer that no incumbent is built to own is also, for the right entrant, a defensible one. Support that sits inside the clinic relationship, that is governed by clinicians rather than sold around them, and that accumulates patient trust and clinically useful data over the course of treatment is not easily displaced. It is not a feature a clinic builds casually, because it sits outside the clinical operating model. It is not territory a generic consumer application can occupy, because it depends on clinical governance and on integration with the clinic. The defensibility comes precisely from sitting in the gap between the clinic and the consumer, where neither is structured to reach.</w:t>
      </w:r>
    </w:p>
    <w:p>
      <w:pPr>
        <w:spacing w:after="200" w:before="0" w:line="312"/>
      </w:pPr>
      <w:r>
        <w:rPr>
          <w:rFonts w:ascii="Arial" w:cs="Arial" w:eastAsia="Arial" w:hAnsi="Arial"/>
          <w:b w:val="false"/>
          <w:bCs w:val="false"/>
          <w:i w:val="false"/>
          <w:iCs w:val="false"/>
          <w:color w:val="35302A"/>
          <w:sz w:val="23"/>
          <w:szCs w:val="23"/>
        </w:rPr>
        <w:t xml:space="preserve">This is the strategic gap that the structure of a growing, consolidating, capacity-constrained industry creates: a patient-experience and retention layer that is commercially material, structurally under-served, and, for an entrant built for it, defensible. The mechanism by which support in this layer improves both patient outcomes and clinic economics is developed in detail in a companion clinical paper (Izana, 2026). The next section describes the model built to occupy it.</w:t>
      </w:r>
    </w:p>
    <w:p>
      <w:pPr>
        <w:keepNext/>
        <w:spacing w:after="170" w:before="420" w:line="300"/>
      </w:pPr>
      <w:r>
        <w:rPr>
          <w:rFonts w:ascii="Arial" w:cs="Arial" w:eastAsia="Arial" w:hAnsi="Arial"/>
          <w:b/>
          <w:bCs/>
          <w:color w:val="5D51C4"/>
          <w:sz w:val="28"/>
          <w:szCs w:val="28"/>
        </w:rPr>
        <w:t xml:space="preserve">9    </w:t>
      </w:r>
      <w:r>
        <w:rPr>
          <w:rFonts w:ascii="Arial" w:cs="Arial" w:eastAsia="Arial" w:hAnsi="Arial"/>
          <w:b/>
          <w:bCs/>
          <w:color w:val="2D2A26"/>
          <w:sz w:val="28"/>
          <w:szCs w:val="28"/>
        </w:rPr>
        <w:t xml:space="preserve">Izana’s Position</w:t>
      </w:r>
    </w:p>
    <w:p>
      <w:pPr>
        <w:spacing w:after="200" w:before="0" w:line="312"/>
      </w:pPr>
      <w:r>
        <w:rPr>
          <w:rFonts w:ascii="Arial" w:cs="Arial" w:eastAsia="Arial" w:hAnsi="Arial"/>
          <w:b w:val="false"/>
          <w:bCs w:val="false"/>
          <w:i w:val="false"/>
          <w:iCs w:val="false"/>
          <w:color w:val="35302A"/>
          <w:sz w:val="23"/>
          <w:szCs w:val="23"/>
        </w:rPr>
        <w:t xml:space="preserve">Izana is a clinically-governed patient-companion platform for fertility care. It is distributed through clinics rather than around them. Clinics adopt Izana; their patients use it through treatment; and it supports the patient across the journey while returning clinically useful information to the care team. It does not compete with the clinic, replace any part of the medical pathway, or position itself between a patient and her clinician. It occupies the patient-experience layer identified in section eight, under clinical governance.</w:t>
      </w:r>
    </w:p>
    <w:p>
      <w:pPr>
        <w:spacing w:after="200" w:before="0" w:line="312"/>
      </w:pPr>
      <w:r>
        <w:rPr>
          <w:rFonts w:ascii="Arial" w:cs="Arial" w:eastAsia="Arial" w:hAnsi="Arial"/>
          <w:b w:val="false"/>
          <w:bCs w:val="false"/>
          <w:i w:val="false"/>
          <w:iCs w:val="false"/>
          <w:color w:val="35302A"/>
          <w:sz w:val="23"/>
          <w:szCs w:val="23"/>
        </w:rPr>
        <w:t xml:space="preserve">The strategic significance of that model is how it behaves as the market grows. Izana’s distribution is the clinic relationship itself. Each clinic that adopts the platform is a durable channel to a continuing flow of patients, and as the underlying market expands for the structural reasons set out in this paper, that channel expands with it. Consolidation, rather than threatening the model, works in its favour: a platform integrated with a chain reaches every clinic in the chain. And because the platform accumulates clinically useful data across each patient journey, its value to clinics and patients grows with use. A model positioned at the patient layer therefore compounds with the market rather than merely riding it.</w:t>
      </w:r>
    </w:p>
    <w:p>
      <w:pPr>
        <w:spacing w:after="200" w:before="0" w:line="312"/>
      </w:pPr>
      <w:r>
        <w:rPr>
          <w:rFonts w:ascii="Arial" w:cs="Arial" w:eastAsia="Arial" w:hAnsi="Arial"/>
          <w:b w:val="false"/>
          <w:bCs w:val="false"/>
          <w:i w:val="false"/>
          <w:iCs w:val="false"/>
          <w:color w:val="35302A"/>
          <w:sz w:val="23"/>
          <w:szCs w:val="23"/>
        </w:rPr>
        <w:t xml:space="preserve">The defensibility of that position follows from where it sits. A patient companion that is embedded in the clinic relationship, governed by clinicians, trusted by patients, and improving with accumulated data is difficult to displace from any of three directions. A clinic is unlikely to build it, because it sits outside the clinical operating model the clinic is structured around. A consumer application is unlikely to occupy it, because it depends on clinical governance and clinic integration that a direct-to-consumer product does not have. And a later entrant faces the accumulated trust, data, and clinic relationships that the position is made of. The moat is the position itself.</w:t>
      </w:r>
    </w:p>
    <w:p>
      <w:pPr>
        <w:spacing w:after="200" w:before="0" w:line="312"/>
      </w:pPr>
      <w:r>
        <w:rPr>
          <w:rFonts w:ascii="Arial" w:cs="Arial" w:eastAsia="Arial" w:hAnsi="Arial"/>
          <w:b w:val="false"/>
          <w:bCs w:val="false"/>
          <w:i w:val="false"/>
          <w:iCs w:val="false"/>
          <w:color w:val="35302A"/>
          <w:sz w:val="23"/>
          <w:szCs w:val="23"/>
        </w:rPr>
        <w:t xml:space="preserve">The implications differ by reader. For an investor, the analysis describes a market expanding for unusually predictable reasons, a layer within it that is under-served and defensible, and a model that compounds with the market rather than depending on winning a contested core. For a clinic or a chain, Izana offers a way to differentiate on patient experience and retention, both of which bear directly on outcomes and on revenue, without building a capability that lies outside its operating model. For a government or an institution, the relevance is that better patient experience and reduced avoidable discontinuation raise the realised return on the assisted-reproduction treatment that couples, and in some systems public budgets, are already paying for. This matters where public health systems fund treatment, as in Spain, and where the penetration of assisted reproduction is itself a development question, as in India.</w:t>
      </w:r>
    </w:p>
    <w:p>
      <w:pPr>
        <w:spacing w:after="200" w:before="0" w:line="312"/>
      </w:pPr>
      <w:r>
        <w:rPr>
          <w:rFonts w:ascii="Arial" w:cs="Arial" w:eastAsia="Arial" w:hAnsi="Arial"/>
          <w:b w:val="false"/>
          <w:bCs w:val="false"/>
          <w:i w:val="false"/>
          <w:iCs w:val="false"/>
          <w:color w:val="35302A"/>
          <w:sz w:val="23"/>
          <w:szCs w:val="23"/>
        </w:rPr>
        <w:t xml:space="preserve">One boundary should be stated as plainly here as in Izana’s clinical work. Izana improves the experience of treatment and supports patients in continuing the treatment they have chosen. It does not claim to improve the biology of a treatment cycle, and it does not claim to reverse demographic decline. Its contribution is to the realised outcomes of the couples who seek care, not to a nation’s fertility rate. Within that boundary, the position is not asserted but derived. The market is growing for structural reasons; the patient layer is its under-served and defensible ground; and Izana is built for that layer.</w:t>
      </w:r>
    </w:p>
    <w:p>
      <w:pPr>
        <w:keepNext/>
        <w:spacing w:after="170" w:before="420" w:line="300"/>
      </w:pPr>
      <w:r>
        <w:rPr>
          <w:rFonts w:ascii="Arial" w:cs="Arial" w:eastAsia="Arial" w:hAnsi="Arial"/>
          <w:b/>
          <w:bCs/>
          <w:color w:val="5D51C4"/>
          <w:sz w:val="28"/>
          <w:szCs w:val="28"/>
        </w:rPr>
        <w:t xml:space="preserve">10    </w:t>
      </w:r>
      <w:r>
        <w:rPr>
          <w:rFonts w:ascii="Arial" w:cs="Arial" w:eastAsia="Arial" w:hAnsi="Arial"/>
          <w:b/>
          <w:bCs/>
          <w:color w:val="2D2A26"/>
          <w:sz w:val="28"/>
          <w:szCs w:val="28"/>
        </w:rPr>
        <w:t xml:space="preserve">What Must Be True, and the Risks</w:t>
      </w:r>
    </w:p>
    <w:p>
      <w:pPr>
        <w:spacing w:after="200" w:before="0" w:line="312"/>
      </w:pPr>
      <w:r>
        <w:rPr>
          <w:rFonts w:ascii="Arial" w:cs="Arial" w:eastAsia="Arial" w:hAnsi="Arial"/>
          <w:b w:val="false"/>
          <w:bCs w:val="false"/>
          <w:i w:val="false"/>
          <w:iCs w:val="false"/>
          <w:color w:val="35302A"/>
          <w:sz w:val="23"/>
          <w:szCs w:val="23"/>
        </w:rPr>
        <w:t xml:space="preserve">A thesis of this kind rests on conditions, and credibility requires stating them. Four things must hold for the argument of this paper to translate into a durable business.</w:t>
      </w:r>
    </w:p>
    <w:p>
      <w:pPr>
        <w:spacing w:after="200" w:before="0" w:line="312"/>
      </w:pPr>
      <w:r>
        <w:rPr>
          <w:rFonts w:ascii="Arial" w:cs="Arial" w:eastAsia="Arial" w:hAnsi="Arial"/>
          <w:b w:val="false"/>
          <w:bCs w:val="false"/>
          <w:i w:val="false"/>
          <w:iCs w:val="false"/>
          <w:color w:val="35302A"/>
          <w:sz w:val="23"/>
          <w:szCs w:val="23"/>
        </w:rPr>
        <w:t xml:space="preserve">The first is the demand condition: that delayed childbearing continues to expand the demand for assisted reproduction. This rests on demographic and biological facts that are among the most predictable in social science, and it is the strongest of the four. The second is the access condition: that clinics adopt and integrate a third-party patient layer. This is the central commercial bet of a clinic-distributed model, and it is a bet on partnership. The third is the gap condition: that the patient-experience layer remains under-served, that clinics and their owners do not themselves close it well. The fourth is the execution condition: that Izana builds and keeps the clinical governance, the data discipline, the regulatory compliance, and the patient trust that the position is made of.</w:t>
      </w:r>
    </w:p>
    <w:p>
      <w:pPr>
        <w:spacing w:after="200" w:before="0" w:line="312"/>
      </w:pPr>
      <w:r>
        <w:rPr>
          <w:rFonts w:ascii="Arial" w:cs="Arial" w:eastAsia="Arial" w:hAnsi="Arial"/>
          <w:b w:val="false"/>
          <w:bCs w:val="false"/>
          <w:i w:val="false"/>
          <w:iCs w:val="false"/>
          <w:color w:val="35302A"/>
          <w:sz w:val="23"/>
          <w:szCs w:val="23"/>
        </w:rPr>
        <w:t xml:space="preserve">Each condition has a corresponding risk. The demand thesis would weaken if fertility rebounded, or if pro-natalist policy succeeded in reversing postponement at scale. On the present evidence this risk is modest. Governments have spent heavily on measures intended to raise fertility: Japan announced a family-policy package of around 3.6 trillion yen, roughly USD 24 billion, in 2023, and South Korea is widely estimated to have spent well over USD 200 billion on pro-natalist measures since 2006. The measured effect of such spending has nonetheless been small and slow, with little sign of reversing the underlying trend, and South Korea’s fertility rate has continued to fall to about 0.72 over the same period (OECD, 2024). The demographic direction is, if anything, the most secure part of the thesis. But it should be named as a risk rather than assumed away.</w:t>
      </w:r>
    </w:p>
    <w:p>
      <w:pPr>
        <w:spacing w:after="200" w:before="0" w:line="312"/>
      </w:pPr>
      <w:r>
        <w:rPr>
          <w:rFonts w:ascii="Arial" w:cs="Arial" w:eastAsia="Arial" w:hAnsi="Arial"/>
          <w:b w:val="false"/>
          <w:bCs w:val="false"/>
          <w:i w:val="false"/>
          <w:iCs w:val="false"/>
          <w:color w:val="35302A"/>
          <w:sz w:val="23"/>
          <w:szCs w:val="23"/>
        </w:rPr>
        <w:t xml:space="preserve">The access risk is more immediate. Clinics may be slow to adopt a third-party platform, or the chains now consolidating the industry may choose to build or buy a patient layer themselves rather than partner for one. The defensibility argued in section eight reduces that risk but does not remove it. There are also regulatory risks: a patient-companion platform handling sensitive health data operates under data-protection law, under emerging rules on artificial intelligence in the European Union, and under India’s evolving assisted-reproduction and data-protection regimes. These are constraints to be designed for, not reasons the model fails, but they are real and they raise the cost of doing the work properly. Finally there is execution risk, which is simply the observation that clinical governance and patient trust are difficult to build and easy to lose.</w:t>
      </w:r>
    </w:p>
    <w:p>
      <w:pPr>
        <w:spacing w:after="200" w:before="0" w:line="312"/>
      </w:pPr>
      <w:r>
        <w:rPr>
          <w:rFonts w:ascii="Arial" w:cs="Arial" w:eastAsia="Arial" w:hAnsi="Arial"/>
          <w:b w:val="false"/>
          <w:bCs w:val="false"/>
          <w:i w:val="false"/>
          <w:iCs w:val="false"/>
          <w:color w:val="35302A"/>
          <w:sz w:val="23"/>
          <w:szCs w:val="23"/>
        </w:rPr>
        <w:t xml:space="preserve">One caveat applies to the evidence itself. The market-size figures in this paper, particularly the commercial forecasts and the Indian estimates, carry real uncertainty, and the Indian data environment in particular will not be mature until the national registry begins publishing audited activity data. The numbers should be read as direction, not as precision. With that said, the central conclusion does not depend on any contested figure. It depends on a chain of reasoning, from postponement to biology to structural demand to a fragmented and consolidating industry to an under-served patient layer, that rests on demographic and biological facts which are not seriously disputed. That is what makes the opportunity unusually durable: not a forecast, but a structural feature of how developed and developing economies now form families. A thesis built on that foundation is conditional, as every thesis is. But its central condition is about as close to certain as social and economic forecasting allows.</w:t>
      </w:r>
    </w:p>
    <w:p>
      <w:pPr>
        <w:keepNext/>
        <w:spacing w:after="150" w:before="360" w:line="300"/>
      </w:pPr>
      <w:r>
        <w:rPr>
          <w:rFonts w:ascii="Arial" w:cs="Arial" w:eastAsia="Arial" w:hAnsi="Arial"/>
          <w:b/>
          <w:bCs/>
          <w:color w:val="2D2A26"/>
          <w:sz w:val="28"/>
          <w:szCs w:val="28"/>
        </w:rPr>
        <w:t xml:space="preserve">About Izana</w:t>
      </w:r>
    </w:p>
    <w:p>
      <w:pPr>
        <w:spacing w:after="200" w:before="0" w:line="312"/>
      </w:pPr>
      <w:r>
        <w:rPr>
          <w:rFonts w:ascii="Arial" w:cs="Arial" w:eastAsia="Arial" w:hAnsi="Arial"/>
          <w:b w:val="false"/>
          <w:bCs w:val="false"/>
          <w:i w:val="false"/>
          <w:iCs w:val="false"/>
          <w:color w:val="35302A"/>
          <w:sz w:val="23"/>
          <w:szCs w:val="23"/>
        </w:rPr>
        <w:t xml:space="preserve">Izana is a clinically-governed fertility wellness companion, distributed to patients through partner clinics. The company was founded in 2025, with a mission to become the world’s most accurate reproductive health platform, and works in partnership with hospitals and clinics to extend their reach into the patient experience around treatment. The platform is operated under the supervision of medical directors specialising in reproductive medicine, and is designed to comply with the European Union’s General Data Protection Regulation and Artificial Intelligence Act, and with India’s evolving assisted-reproduction and data-protection regimes.</w:t>
      </w:r>
    </w:p>
    <w:p>
      <w:pPr>
        <w:spacing w:after="200" w:before="0" w:line="312"/>
      </w:pPr>
      <w:r>
        <w:rPr>
          <w:rFonts w:ascii="Arial" w:cs="Arial" w:eastAsia="Arial" w:hAnsi="Arial"/>
          <w:b w:val="false"/>
          <w:bCs w:val="false"/>
          <w:i w:val="false"/>
          <w:iCs w:val="false"/>
          <w:color w:val="35302A"/>
          <w:sz w:val="23"/>
          <w:szCs w:val="23"/>
        </w:rPr>
        <w:t xml:space="preserve">For partnership inquiries, including the pilot proposal described in this paper, or other correspondence: contact@izana.ai.</w:t>
      </w:r>
    </w:p>
    <w:p>
      <w:r>
        <w:br w:type="page"/>
      </w:r>
    </w:p>
    <w:p>
      <w:pPr>
        <w:keepNext/>
        <w:spacing w:after="150" w:before="360" w:line="300"/>
      </w:pPr>
      <w:r>
        <w:rPr>
          <w:rFonts w:ascii="Arial" w:cs="Arial" w:eastAsia="Arial" w:hAnsi="Arial"/>
          <w:b/>
          <w:bCs/>
          <w:color w:val="2D2A26"/>
          <w:sz w:val="28"/>
          <w:szCs w:val="28"/>
        </w:rPr>
        <w:t xml:space="preserve">References</w:t>
      </w:r>
    </w:p>
    <w:p>
      <w:pPr>
        <w:spacing w:after="240" w:line="264"/>
      </w:pPr>
      <w:r>
        <w:rPr>
          <w:rFonts w:ascii="Arial" w:cs="Arial" w:eastAsia="Arial" w:hAnsi="Arial"/>
          <w:b w:val="false"/>
          <w:bCs w:val="false"/>
          <w:i/>
          <w:iCs/>
          <w:color w:val="6A6459"/>
          <w:sz w:val="19"/>
          <w:szCs w:val="19"/>
        </w:rPr>
        <w:t xml:space="preserve">Citations follow the Harvard referencing system. Market-size figures attributed to commercial research firms are indicative; institutional registries and statistical offices are the primary sources relied on.</w:t>
      </w:r>
    </w:p>
    <w:p>
      <w:pPr>
        <w:spacing w:after="120" w:line="258"/>
        <w:ind w:left="380" w:hanging="380"/>
      </w:pPr>
      <w:r>
        <w:rPr>
          <w:rFonts w:ascii="Arial" w:cs="Arial" w:eastAsia="Arial" w:hAnsi="Arial"/>
          <w:b w:val="false"/>
          <w:bCs w:val="false"/>
          <w:i w:val="false"/>
          <w:iCs w:val="false"/>
          <w:color w:val="35302A"/>
          <w:sz w:val="21"/>
          <w:szCs w:val="21"/>
        </w:rPr>
        <w:t xml:space="preserve">American College of Obstetricians and Gynecologists (ACOG) (2025) </w:t>
      </w:r>
      <w:r>
        <w:rPr>
          <w:rFonts w:ascii="Arial" w:cs="Arial" w:eastAsia="Arial" w:hAnsi="Arial"/>
          <w:b w:val="false"/>
          <w:bCs w:val="false"/>
          <w:i/>
          <w:iCs/>
          <w:color w:val="35302A"/>
          <w:sz w:val="21"/>
          <w:szCs w:val="21"/>
        </w:rPr>
        <w:t xml:space="preserve">Anticipatory Counseling Regarding Ovarian-Factor Fertility Decline</w:t>
      </w:r>
      <w:r>
        <w:rPr>
          <w:rFonts w:ascii="Arial" w:cs="Arial" w:eastAsia="Arial" w:hAnsi="Arial"/>
          <w:b w:val="false"/>
          <w:bCs w:val="false"/>
          <w:i w:val="false"/>
          <w:iCs w:val="false"/>
          <w:color w:val="35302A"/>
          <w:sz w:val="21"/>
          <w:szCs w:val="21"/>
        </w:rPr>
        <w:t xml:space="preserve">. Committee Statement. Washington, DC: American College of Obstetricians and Gynecologists.</w:t>
      </w:r>
    </w:p>
    <w:p>
      <w:pPr>
        <w:spacing w:after="120" w:line="258"/>
        <w:ind w:left="380" w:hanging="380"/>
      </w:pPr>
      <w:r>
        <w:rPr>
          <w:rFonts w:ascii="Arial" w:cs="Arial" w:eastAsia="Arial" w:hAnsi="Arial"/>
          <w:b w:val="false"/>
          <w:bCs w:val="false"/>
          <w:i w:val="false"/>
          <w:iCs w:val="false"/>
          <w:color w:val="35302A"/>
          <w:sz w:val="21"/>
          <w:szCs w:val="21"/>
        </w:rPr>
        <w:t xml:space="preserve">American Society for Reproductive Medicine (ASRM) (2014) ‘Female age-related fertility decline. Committee Opinion No. 589’, </w:t>
      </w:r>
      <w:r>
        <w:rPr>
          <w:rFonts w:ascii="Arial" w:cs="Arial" w:eastAsia="Arial" w:hAnsi="Arial"/>
          <w:b w:val="false"/>
          <w:bCs w:val="false"/>
          <w:i/>
          <w:iCs/>
          <w:color w:val="35302A"/>
          <w:sz w:val="21"/>
          <w:szCs w:val="21"/>
        </w:rPr>
        <w:t xml:space="preserve">Fertility and Sterility</w:t>
      </w:r>
      <w:r>
        <w:rPr>
          <w:rFonts w:ascii="Arial" w:cs="Arial" w:eastAsia="Arial" w:hAnsi="Arial"/>
          <w:b w:val="false"/>
          <w:bCs w:val="false"/>
          <w:i w:val="false"/>
          <w:iCs w:val="false"/>
          <w:color w:val="35302A"/>
          <w:sz w:val="21"/>
          <w:szCs w:val="21"/>
        </w:rPr>
        <w:t xml:space="preserve">, 101(3), pp. 633–634.</w:t>
      </w:r>
    </w:p>
    <w:p>
      <w:pPr>
        <w:spacing w:after="120" w:line="258"/>
        <w:ind w:left="380" w:hanging="380"/>
      </w:pPr>
      <w:r>
        <w:rPr>
          <w:rFonts w:ascii="Arial" w:cs="Arial" w:eastAsia="Arial" w:hAnsi="Arial"/>
          <w:b w:val="false"/>
          <w:bCs w:val="false"/>
          <w:i w:val="false"/>
          <w:iCs w:val="false"/>
          <w:color w:val="35302A"/>
          <w:sz w:val="21"/>
          <w:szCs w:val="21"/>
        </w:rPr>
        <w:t xml:space="preserve">Borsa, A. and Bruch, J.D. (2022) ‘Prevalence and performance of private equity-affiliated fertility practices in the United States’, </w:t>
      </w:r>
      <w:r>
        <w:rPr>
          <w:rFonts w:ascii="Arial" w:cs="Arial" w:eastAsia="Arial" w:hAnsi="Arial"/>
          <w:b w:val="false"/>
          <w:bCs w:val="false"/>
          <w:i/>
          <w:iCs/>
          <w:color w:val="35302A"/>
          <w:sz w:val="21"/>
          <w:szCs w:val="21"/>
        </w:rPr>
        <w:t xml:space="preserve">Fertility and Sterility</w:t>
      </w:r>
      <w:r>
        <w:rPr>
          <w:rFonts w:ascii="Arial" w:cs="Arial" w:eastAsia="Arial" w:hAnsi="Arial"/>
          <w:b w:val="false"/>
          <w:bCs w:val="false"/>
          <w:i w:val="false"/>
          <w:iCs w:val="false"/>
          <w:color w:val="35302A"/>
          <w:sz w:val="21"/>
          <w:szCs w:val="21"/>
        </w:rPr>
        <w:t xml:space="preserve">, 117(1), pp. 124–130.</w:t>
      </w:r>
    </w:p>
    <w:p>
      <w:pPr>
        <w:spacing w:after="120" w:line="258"/>
        <w:ind w:left="380" w:hanging="380"/>
      </w:pPr>
      <w:r>
        <w:rPr>
          <w:rFonts w:ascii="Arial" w:cs="Arial" w:eastAsia="Arial" w:hAnsi="Arial"/>
          <w:b w:val="false"/>
          <w:bCs w:val="false"/>
          <w:i w:val="false"/>
          <w:iCs w:val="false"/>
          <w:color w:val="35302A"/>
          <w:sz w:val="21"/>
          <w:szCs w:val="21"/>
        </w:rPr>
        <w:t xml:space="preserve">Cevik, S. (2025) </w:t>
      </w:r>
      <w:r>
        <w:rPr>
          <w:rFonts w:ascii="Arial" w:cs="Arial" w:eastAsia="Arial" w:hAnsi="Arial"/>
          <w:b w:val="false"/>
          <w:bCs w:val="false"/>
          <w:i/>
          <w:iCs/>
          <w:color w:val="35302A"/>
          <w:sz w:val="21"/>
          <w:szCs w:val="21"/>
        </w:rPr>
        <w:t xml:space="preserve">Lost Generations? Fertility and Economic Growth in Europe</w:t>
      </w:r>
      <w:r>
        <w:rPr>
          <w:rFonts w:ascii="Arial" w:cs="Arial" w:eastAsia="Arial" w:hAnsi="Arial"/>
          <w:b w:val="false"/>
          <w:bCs w:val="false"/>
          <w:i w:val="false"/>
          <w:iCs w:val="false"/>
          <w:color w:val="35302A"/>
          <w:sz w:val="21"/>
          <w:szCs w:val="21"/>
        </w:rPr>
        <w:t xml:space="preserve">. IMF Working Paper WP/25/55. Washington, DC: International Monetary Fund.</w:t>
      </w:r>
    </w:p>
    <w:p>
      <w:pPr>
        <w:spacing w:after="120" w:line="258"/>
        <w:ind w:left="380" w:hanging="380"/>
      </w:pPr>
      <w:r>
        <w:rPr>
          <w:rFonts w:ascii="Arial" w:cs="Arial" w:eastAsia="Arial" w:hAnsi="Arial"/>
          <w:b w:val="false"/>
          <w:bCs w:val="false"/>
          <w:i w:val="false"/>
          <w:iCs w:val="false"/>
          <w:color w:val="35302A"/>
          <w:sz w:val="21"/>
          <w:szCs w:val="21"/>
        </w:rPr>
        <w:t xml:space="preserve">European Commission (2024) </w:t>
      </w:r>
      <w:r>
        <w:rPr>
          <w:rFonts w:ascii="Arial" w:cs="Arial" w:eastAsia="Arial" w:hAnsi="Arial"/>
          <w:b w:val="false"/>
          <w:bCs w:val="false"/>
          <w:i/>
          <w:iCs/>
          <w:color w:val="35302A"/>
          <w:sz w:val="21"/>
          <w:szCs w:val="21"/>
        </w:rPr>
        <w:t xml:space="preserve">The 2024 Ageing Report: Economic and Budgetary Projections for the EU Member States (2022–2070)</w:t>
      </w:r>
      <w:r>
        <w:rPr>
          <w:rFonts w:ascii="Arial" w:cs="Arial" w:eastAsia="Arial" w:hAnsi="Arial"/>
          <w:b w:val="false"/>
          <w:bCs w:val="false"/>
          <w:i w:val="false"/>
          <w:iCs w:val="false"/>
          <w:color w:val="35302A"/>
          <w:sz w:val="21"/>
          <w:szCs w:val="21"/>
        </w:rPr>
        <w:t xml:space="preserve">. Institutional Paper 279. Luxembourg: Publications Office of the European Union.</w:t>
      </w:r>
    </w:p>
    <w:p>
      <w:pPr>
        <w:spacing w:after="120" w:line="258"/>
        <w:ind w:left="380" w:hanging="380"/>
      </w:pPr>
      <w:r>
        <w:rPr>
          <w:rFonts w:ascii="Arial" w:cs="Arial" w:eastAsia="Arial" w:hAnsi="Arial"/>
          <w:b w:val="false"/>
          <w:bCs w:val="false"/>
          <w:i w:val="false"/>
          <w:iCs w:val="false"/>
          <w:color w:val="35302A"/>
          <w:sz w:val="21"/>
          <w:szCs w:val="21"/>
        </w:rPr>
        <w:t xml:space="preserve">Eurostat (2025) </w:t>
      </w:r>
      <w:r>
        <w:rPr>
          <w:rFonts w:ascii="Arial" w:cs="Arial" w:eastAsia="Arial" w:hAnsi="Arial"/>
          <w:b w:val="false"/>
          <w:bCs w:val="false"/>
          <w:i/>
          <w:iCs/>
          <w:color w:val="35302A"/>
          <w:sz w:val="21"/>
          <w:szCs w:val="21"/>
        </w:rPr>
        <w:t xml:space="preserve">Fertility statistics</w:t>
      </w:r>
      <w:r>
        <w:rPr>
          <w:rFonts w:ascii="Arial" w:cs="Arial" w:eastAsia="Arial" w:hAnsi="Arial"/>
          <w:b w:val="false"/>
          <w:bCs w:val="false"/>
          <w:i w:val="false"/>
          <w:iCs w:val="false"/>
          <w:color w:val="35302A"/>
          <w:sz w:val="21"/>
          <w:szCs w:val="21"/>
        </w:rPr>
        <w:t xml:space="preserve">. Statistics Explained. Luxembourg: Eurostat. Available at: https://ec.europa.eu/eurostat/statistics-explained/index.php?title=Fertility_statistics (Accessed: 27 May 2026).</w:t>
      </w:r>
    </w:p>
    <w:p>
      <w:pPr>
        <w:spacing w:after="120" w:line="258"/>
        <w:ind w:left="380" w:hanging="380"/>
      </w:pPr>
      <w:r>
        <w:rPr>
          <w:rFonts w:ascii="Arial" w:cs="Arial" w:eastAsia="Arial" w:hAnsi="Arial"/>
          <w:b w:val="false"/>
          <w:bCs w:val="false"/>
          <w:i w:val="false"/>
          <w:iCs w:val="false"/>
          <w:color w:val="35302A"/>
          <w:sz w:val="21"/>
          <w:szCs w:val="21"/>
        </w:rPr>
        <w:t xml:space="preserve">Gameiro, S., Boivin, J., Peronace, L. and Verhaak, C.M. (2012) ‘Why do patients discontinue fertility treatment? A systematic review of reasons and predictors of discontinuation in fertility treatment’, </w:t>
      </w:r>
      <w:r>
        <w:rPr>
          <w:rFonts w:ascii="Arial" w:cs="Arial" w:eastAsia="Arial" w:hAnsi="Arial"/>
          <w:b w:val="false"/>
          <w:bCs w:val="false"/>
          <w:i/>
          <w:iCs/>
          <w:color w:val="35302A"/>
          <w:sz w:val="21"/>
          <w:szCs w:val="21"/>
        </w:rPr>
        <w:t xml:space="preserve">Human Reproduction Update</w:t>
      </w:r>
      <w:r>
        <w:rPr>
          <w:rFonts w:ascii="Arial" w:cs="Arial" w:eastAsia="Arial" w:hAnsi="Arial"/>
          <w:b w:val="false"/>
          <w:bCs w:val="false"/>
          <w:i w:val="false"/>
          <w:iCs w:val="false"/>
          <w:color w:val="35302A"/>
          <w:sz w:val="21"/>
          <w:szCs w:val="21"/>
        </w:rPr>
        <w:t xml:space="preserve">, 18(6), pp. 652–669.</w:t>
      </w:r>
    </w:p>
    <w:p>
      <w:pPr>
        <w:spacing w:after="120" w:line="258"/>
        <w:ind w:left="380" w:hanging="380"/>
      </w:pPr>
      <w:r>
        <w:rPr>
          <w:rFonts w:ascii="Arial" w:cs="Arial" w:eastAsia="Arial" w:hAnsi="Arial"/>
          <w:b w:val="false"/>
          <w:bCs w:val="false"/>
          <w:i w:val="false"/>
          <w:iCs w:val="false"/>
          <w:color w:val="35302A"/>
          <w:sz w:val="21"/>
          <w:szCs w:val="21"/>
        </w:rPr>
        <w:t xml:space="preserve">Grand View Research (2024) </w:t>
      </w:r>
      <w:r>
        <w:rPr>
          <w:rFonts w:ascii="Arial" w:cs="Arial" w:eastAsia="Arial" w:hAnsi="Arial"/>
          <w:b w:val="false"/>
          <w:bCs w:val="false"/>
          <w:i/>
          <w:iCs/>
          <w:color w:val="35302A"/>
          <w:sz w:val="21"/>
          <w:szCs w:val="21"/>
        </w:rPr>
        <w:t xml:space="preserve">In Vitro Fertilization Market and Fertility Services Market: Size, Share and Trends Analysis Reports, 2024 to 2030</w:t>
      </w:r>
      <w:r>
        <w:rPr>
          <w:rFonts w:ascii="Arial" w:cs="Arial" w:eastAsia="Arial" w:hAnsi="Arial"/>
          <w:b w:val="false"/>
          <w:bCs w:val="false"/>
          <w:i w:val="false"/>
          <w:iCs w:val="false"/>
          <w:color w:val="35302A"/>
          <w:sz w:val="21"/>
          <w:szCs w:val="21"/>
        </w:rPr>
        <w:t xml:space="preserve">. San Francisco: Grand View Research.</w:t>
      </w:r>
    </w:p>
    <w:p>
      <w:pPr>
        <w:spacing w:after="120" w:line="258"/>
        <w:ind w:left="380" w:hanging="380"/>
      </w:pPr>
      <w:r>
        <w:rPr>
          <w:rFonts w:ascii="Arial" w:cs="Arial" w:eastAsia="Arial" w:hAnsi="Arial"/>
          <w:b w:val="false"/>
          <w:bCs w:val="false"/>
          <w:i w:val="false"/>
          <w:iCs w:val="false"/>
          <w:color w:val="35302A"/>
          <w:sz w:val="21"/>
          <w:szCs w:val="21"/>
        </w:rPr>
        <w:t xml:space="preserve">Instituto Nacional de Estadística (INE) (2025) </w:t>
      </w:r>
      <w:r>
        <w:rPr>
          <w:rFonts w:ascii="Arial" w:cs="Arial" w:eastAsia="Arial" w:hAnsi="Arial"/>
          <w:b w:val="false"/>
          <w:bCs w:val="false"/>
          <w:i/>
          <w:iCs/>
          <w:color w:val="35302A"/>
          <w:sz w:val="21"/>
          <w:szCs w:val="21"/>
        </w:rPr>
        <w:t xml:space="preserve">Indicadores Demográficos Básicos</w:t>
      </w:r>
      <w:r>
        <w:rPr>
          <w:rFonts w:ascii="Arial" w:cs="Arial" w:eastAsia="Arial" w:hAnsi="Arial"/>
          <w:b w:val="false"/>
          <w:bCs w:val="false"/>
          <w:i w:val="false"/>
          <w:iCs w:val="false"/>
          <w:color w:val="35302A"/>
          <w:sz w:val="21"/>
          <w:szCs w:val="21"/>
        </w:rPr>
        <w:t xml:space="preserve">. Madrid: Instituto Nacional de Estadística.</w:t>
      </w:r>
    </w:p>
    <w:p>
      <w:pPr>
        <w:spacing w:after="120" w:line="258"/>
        <w:ind w:left="380" w:hanging="380"/>
      </w:pPr>
      <w:r>
        <w:rPr>
          <w:rFonts w:ascii="Arial" w:cs="Arial" w:eastAsia="Arial" w:hAnsi="Arial"/>
          <w:b w:val="false"/>
          <w:bCs w:val="false"/>
          <w:i w:val="false"/>
          <w:iCs w:val="false"/>
          <w:color w:val="35302A"/>
          <w:sz w:val="21"/>
          <w:szCs w:val="21"/>
        </w:rPr>
        <w:t xml:space="preserve">International Institute for Population Sciences (IIPS) and Ministry of Health and Family Welfare (MoHFW) (2021) </w:t>
      </w:r>
      <w:r>
        <w:rPr>
          <w:rFonts w:ascii="Arial" w:cs="Arial" w:eastAsia="Arial" w:hAnsi="Arial"/>
          <w:b w:val="false"/>
          <w:bCs w:val="false"/>
          <w:i/>
          <w:iCs/>
          <w:color w:val="35302A"/>
          <w:sz w:val="21"/>
          <w:szCs w:val="21"/>
        </w:rPr>
        <w:t xml:space="preserve">National Family Health Survey (NFHS-5), 2019–21: India</w:t>
      </w:r>
      <w:r>
        <w:rPr>
          <w:rFonts w:ascii="Arial" w:cs="Arial" w:eastAsia="Arial" w:hAnsi="Arial"/>
          <w:b w:val="false"/>
          <w:bCs w:val="false"/>
          <w:i w:val="false"/>
          <w:iCs w:val="false"/>
          <w:color w:val="35302A"/>
          <w:sz w:val="21"/>
          <w:szCs w:val="21"/>
        </w:rPr>
        <w:t xml:space="preserve">. Mumbai: International Institute for Population Sciences.</w:t>
      </w:r>
    </w:p>
    <w:p>
      <w:pPr>
        <w:spacing w:after="120" w:line="258"/>
        <w:ind w:left="380" w:hanging="380"/>
      </w:pPr>
      <w:r>
        <w:rPr>
          <w:rFonts w:ascii="Arial" w:cs="Arial" w:eastAsia="Arial" w:hAnsi="Arial"/>
          <w:b w:val="false"/>
          <w:bCs w:val="false"/>
          <w:i w:val="false"/>
          <w:iCs w:val="false"/>
          <w:color w:val="35302A"/>
          <w:sz w:val="21"/>
          <w:szCs w:val="21"/>
        </w:rPr>
        <w:t xml:space="preserve">International Monetary Fund (2025) </w:t>
      </w:r>
      <w:r>
        <w:rPr>
          <w:rFonts w:ascii="Arial" w:cs="Arial" w:eastAsia="Arial" w:hAnsi="Arial"/>
          <w:b w:val="false"/>
          <w:bCs w:val="false"/>
          <w:i/>
          <w:iCs/>
          <w:color w:val="35302A"/>
          <w:sz w:val="21"/>
          <w:szCs w:val="21"/>
        </w:rPr>
        <w:t xml:space="preserve">Republic of Korea: 2024 Article IV Consultation</w:t>
      </w:r>
      <w:r>
        <w:rPr>
          <w:rFonts w:ascii="Arial" w:cs="Arial" w:eastAsia="Arial" w:hAnsi="Arial"/>
          <w:b w:val="false"/>
          <w:bCs w:val="false"/>
          <w:i w:val="false"/>
          <w:iCs w:val="false"/>
          <w:color w:val="35302A"/>
          <w:sz w:val="21"/>
          <w:szCs w:val="21"/>
        </w:rPr>
        <w:t xml:space="preserve">. IMF Country Report No. 25/41. Washington, DC: International Monetary Fund.</w:t>
      </w:r>
    </w:p>
    <w:p>
      <w:pPr>
        <w:spacing w:after="120" w:line="258"/>
        <w:ind w:left="380" w:hanging="380"/>
      </w:pPr>
      <w:r>
        <w:rPr>
          <w:rFonts w:ascii="Arial" w:cs="Arial" w:eastAsia="Arial" w:hAnsi="Arial"/>
          <w:b w:val="false"/>
          <w:bCs w:val="false"/>
          <w:i w:val="false"/>
          <w:iCs w:val="false"/>
          <w:color w:val="35302A"/>
          <w:sz w:val="21"/>
          <w:szCs w:val="21"/>
        </w:rPr>
        <w:t xml:space="preserve">Izana (2026) </w:t>
      </w:r>
      <w:r>
        <w:rPr>
          <w:rFonts w:ascii="Arial" w:cs="Arial" w:eastAsia="Arial" w:hAnsi="Arial"/>
          <w:b w:val="false"/>
          <w:bCs w:val="false"/>
          <w:i/>
          <w:iCs/>
          <w:color w:val="35302A"/>
          <w:sz w:val="21"/>
          <w:szCs w:val="21"/>
        </w:rPr>
        <w:t xml:space="preserve">The Inter-Cycle Gap: Why IVF Care Stops at the Clinic Door</w:t>
      </w:r>
      <w:r>
        <w:rPr>
          <w:rFonts w:ascii="Arial" w:cs="Arial" w:eastAsia="Arial" w:hAnsi="Arial"/>
          <w:b w:val="false"/>
          <w:bCs w:val="false"/>
          <w:i w:val="false"/>
          <w:iCs w:val="false"/>
          <w:color w:val="35302A"/>
          <w:sz w:val="21"/>
          <w:szCs w:val="21"/>
        </w:rPr>
        <w:t xml:space="preserve">. Izana clinical paper.</w:t>
      </w:r>
    </w:p>
    <w:p>
      <w:pPr>
        <w:spacing w:after="120" w:line="258"/>
        <w:ind w:left="380" w:hanging="380"/>
      </w:pPr>
      <w:r>
        <w:rPr>
          <w:rFonts w:ascii="Arial" w:cs="Arial" w:eastAsia="Arial" w:hAnsi="Arial"/>
          <w:b w:val="false"/>
          <w:bCs w:val="false"/>
          <w:i w:val="false"/>
          <w:iCs w:val="false"/>
          <w:color w:val="35302A"/>
          <w:sz w:val="21"/>
          <w:szCs w:val="21"/>
        </w:rPr>
        <w:t xml:space="preserve">OECD (2024) </w:t>
      </w:r>
      <w:r>
        <w:rPr>
          <w:rFonts w:ascii="Arial" w:cs="Arial" w:eastAsia="Arial" w:hAnsi="Arial"/>
          <w:b w:val="false"/>
          <w:bCs w:val="false"/>
          <w:i/>
          <w:iCs/>
          <w:color w:val="35302A"/>
          <w:sz w:val="21"/>
          <w:szCs w:val="21"/>
        </w:rPr>
        <w:t xml:space="preserve">Society at a Glance 2024: OECD Social Indicators</w:t>
      </w:r>
      <w:r>
        <w:rPr>
          <w:rFonts w:ascii="Arial" w:cs="Arial" w:eastAsia="Arial" w:hAnsi="Arial"/>
          <w:b w:val="false"/>
          <w:bCs w:val="false"/>
          <w:i w:val="false"/>
          <w:iCs w:val="false"/>
          <w:color w:val="35302A"/>
          <w:sz w:val="21"/>
          <w:szCs w:val="21"/>
        </w:rPr>
        <w:t xml:space="preserve">. Paris: OECD Publishing.</w:t>
      </w:r>
    </w:p>
    <w:p>
      <w:pPr>
        <w:spacing w:after="120" w:line="258"/>
        <w:ind w:left="380" w:hanging="380"/>
      </w:pPr>
      <w:r>
        <w:rPr>
          <w:rFonts w:ascii="Arial" w:cs="Arial" w:eastAsia="Arial" w:hAnsi="Arial"/>
          <w:b w:val="false"/>
          <w:bCs w:val="false"/>
          <w:i w:val="false"/>
          <w:iCs w:val="false"/>
          <w:color w:val="35302A"/>
          <w:sz w:val="21"/>
          <w:szCs w:val="21"/>
        </w:rPr>
        <w:t xml:space="preserve">PitchBook (2024) </w:t>
      </w:r>
      <w:r>
        <w:rPr>
          <w:rFonts w:ascii="Arial" w:cs="Arial" w:eastAsia="Arial" w:hAnsi="Arial"/>
          <w:b w:val="false"/>
          <w:bCs w:val="false"/>
          <w:i/>
          <w:iCs/>
          <w:color w:val="35302A"/>
          <w:sz w:val="21"/>
          <w:szCs w:val="21"/>
        </w:rPr>
        <w:t xml:space="preserve">Private Equity Drives Consolidation in Maturing Fertility Market</w:t>
      </w:r>
      <w:r>
        <w:rPr>
          <w:rFonts w:ascii="Arial" w:cs="Arial" w:eastAsia="Arial" w:hAnsi="Arial"/>
          <w:b w:val="false"/>
          <w:bCs w:val="false"/>
          <w:i w:val="false"/>
          <w:iCs w:val="false"/>
          <w:color w:val="35302A"/>
          <w:sz w:val="21"/>
          <w:szCs w:val="21"/>
        </w:rPr>
        <w:t xml:space="preserve">. PitchBook News and Analysis. Available at: https://pitchbook.com/news/articles/private-equity-buyouts-fertility-consolidation (Accessed: 27 May 2026).</w:t>
      </w:r>
    </w:p>
    <w:p>
      <w:pPr>
        <w:spacing w:after="120" w:line="258"/>
        <w:ind w:left="380" w:hanging="380"/>
      </w:pPr>
      <w:r>
        <w:rPr>
          <w:rFonts w:ascii="Arial" w:cs="Arial" w:eastAsia="Arial" w:hAnsi="Arial"/>
          <w:b w:val="false"/>
          <w:bCs w:val="false"/>
          <w:i w:val="false"/>
          <w:iCs w:val="false"/>
          <w:color w:val="35302A"/>
          <w:sz w:val="21"/>
          <w:szCs w:val="21"/>
        </w:rPr>
        <w:t xml:space="preserve">Smeenk, J., Wyns, C., De Geyter, C., Kupka, M., Bergh, C., Cuevas Saiz, I., De Neubourg, D., Rezabek, K., Tandler-Schneider, A., Rugescu, I. and Goossens, V., for the European IVF Monitoring Consortium (EIM) of the European Society of Human Reproduction and Embryology (2023) ‘ART in Europe, 2019: results generated from European registries by ESHRE’, </w:t>
      </w:r>
      <w:r>
        <w:rPr>
          <w:rFonts w:ascii="Arial" w:cs="Arial" w:eastAsia="Arial" w:hAnsi="Arial"/>
          <w:b w:val="false"/>
          <w:bCs w:val="false"/>
          <w:i/>
          <w:iCs/>
          <w:color w:val="35302A"/>
          <w:sz w:val="21"/>
          <w:szCs w:val="21"/>
        </w:rPr>
        <w:t xml:space="preserve">Human Reproduction</w:t>
      </w:r>
      <w:r>
        <w:rPr>
          <w:rFonts w:ascii="Arial" w:cs="Arial" w:eastAsia="Arial" w:hAnsi="Arial"/>
          <w:b w:val="false"/>
          <w:bCs w:val="false"/>
          <w:i w:val="false"/>
          <w:iCs w:val="false"/>
          <w:color w:val="35302A"/>
          <w:sz w:val="21"/>
          <w:szCs w:val="21"/>
        </w:rPr>
        <w:t xml:space="preserve">, 38(12), pp. 2321–2338. doi:10.1093/humrep/dead197.</w:t>
      </w:r>
    </w:p>
    <w:p>
      <w:pPr>
        <w:spacing w:after="120" w:line="258"/>
        <w:ind w:left="380" w:hanging="380"/>
      </w:pPr>
      <w:r>
        <w:rPr>
          <w:rFonts w:ascii="Arial" w:cs="Arial" w:eastAsia="Arial" w:hAnsi="Arial"/>
          <w:b w:val="false"/>
          <w:bCs w:val="false"/>
          <w:i w:val="false"/>
          <w:iCs w:val="false"/>
          <w:color w:val="35302A"/>
          <w:sz w:val="21"/>
          <w:szCs w:val="21"/>
        </w:rPr>
        <w:t xml:space="preserve">Sociedad Española de Fertilidad (SEF) (2024) </w:t>
      </w:r>
      <w:r>
        <w:rPr>
          <w:rFonts w:ascii="Arial" w:cs="Arial" w:eastAsia="Arial" w:hAnsi="Arial"/>
          <w:b w:val="false"/>
          <w:bCs w:val="false"/>
          <w:i/>
          <w:iCs/>
          <w:color w:val="35302A"/>
          <w:sz w:val="21"/>
          <w:szCs w:val="21"/>
        </w:rPr>
        <w:t xml:space="preserve">Registro Nacional de Actividad 2022: Registro SEF</w:t>
      </w:r>
      <w:r>
        <w:rPr>
          <w:rFonts w:ascii="Arial" w:cs="Arial" w:eastAsia="Arial" w:hAnsi="Arial"/>
          <w:b w:val="false"/>
          <w:bCs w:val="false"/>
          <w:i w:val="false"/>
          <w:iCs w:val="false"/>
          <w:color w:val="35302A"/>
          <w:sz w:val="21"/>
          <w:szCs w:val="21"/>
        </w:rPr>
        <w:t xml:space="preserve">. Madrid: Sociedad Española de Fertilidad.</w:t>
      </w:r>
    </w:p>
    <w:p>
      <w:pPr>
        <w:spacing w:after="120" w:line="258"/>
        <w:ind w:left="380" w:hanging="380"/>
      </w:pPr>
      <w:r>
        <w:rPr>
          <w:rFonts w:ascii="Arial" w:cs="Arial" w:eastAsia="Arial" w:hAnsi="Arial"/>
          <w:b w:val="false"/>
          <w:bCs w:val="false"/>
          <w:i w:val="false"/>
          <w:iCs w:val="false"/>
          <w:color w:val="35302A"/>
          <w:sz w:val="21"/>
          <w:szCs w:val="21"/>
        </w:rPr>
        <w:t xml:space="preserve">United Nations, Department of Economic and Social Affairs, Population Division (2024) </w:t>
      </w:r>
      <w:r>
        <w:rPr>
          <w:rFonts w:ascii="Arial" w:cs="Arial" w:eastAsia="Arial" w:hAnsi="Arial"/>
          <w:b w:val="false"/>
          <w:bCs w:val="false"/>
          <w:i/>
          <w:iCs/>
          <w:color w:val="35302A"/>
          <w:sz w:val="21"/>
          <w:szCs w:val="21"/>
        </w:rPr>
        <w:t xml:space="preserve">World Population Prospects 2024: Summary of Results</w:t>
      </w:r>
      <w:r>
        <w:rPr>
          <w:rFonts w:ascii="Arial" w:cs="Arial" w:eastAsia="Arial" w:hAnsi="Arial"/>
          <w:b w:val="false"/>
          <w:bCs w:val="false"/>
          <w:i w:val="false"/>
          <w:iCs w:val="false"/>
          <w:color w:val="35302A"/>
          <w:sz w:val="21"/>
          <w:szCs w:val="21"/>
        </w:rPr>
        <w:t xml:space="preserve">. New York: United Nations.</w:t>
      </w:r>
    </w:p>
    <w:p>
      <w:pPr>
        <w:spacing w:after="120" w:line="258"/>
        <w:ind w:left="380" w:hanging="380"/>
      </w:pPr>
      <w:r>
        <w:rPr>
          <w:rFonts w:ascii="Arial" w:cs="Arial" w:eastAsia="Arial" w:hAnsi="Arial"/>
          <w:b w:val="false"/>
          <w:bCs w:val="false"/>
          <w:i w:val="false"/>
          <w:iCs w:val="false"/>
          <w:color w:val="35302A"/>
          <w:sz w:val="21"/>
          <w:szCs w:val="21"/>
        </w:rPr>
        <w:t xml:space="preserve">United Nations Population Fund (2023) </w:t>
      </w:r>
      <w:r>
        <w:rPr>
          <w:rFonts w:ascii="Arial" w:cs="Arial" w:eastAsia="Arial" w:hAnsi="Arial"/>
          <w:b w:val="false"/>
          <w:bCs w:val="false"/>
          <w:i/>
          <w:iCs/>
          <w:color w:val="35302A"/>
          <w:sz w:val="21"/>
          <w:szCs w:val="21"/>
        </w:rPr>
        <w:t xml:space="preserve">India Ageing Report 2023: Caring for Our Elders, Institutional Responses in India</w:t>
      </w:r>
      <w:r>
        <w:rPr>
          <w:rFonts w:ascii="Arial" w:cs="Arial" w:eastAsia="Arial" w:hAnsi="Arial"/>
          <w:b w:val="false"/>
          <w:bCs w:val="false"/>
          <w:i w:val="false"/>
          <w:iCs w:val="false"/>
          <w:color w:val="35302A"/>
          <w:sz w:val="21"/>
          <w:szCs w:val="21"/>
        </w:rPr>
        <w:t xml:space="preserve">. New Delhi: United Nations Population Fund, India.</w:t>
      </w:r>
    </w:p>
    <w:p>
      <w:pPr>
        <w:pBdr>
          <w:top w:val="single" w:color="CFC8E8" w:sz="4" w:space="10"/>
        </w:pBdr>
        <w:spacing w:after="80" w:before="360" w:line="264"/>
      </w:pPr>
      <w:r>
        <w:rPr>
          <w:rFonts w:ascii="Arial" w:cs="Arial" w:eastAsia="Arial" w:hAnsi="Arial"/>
          <w:color w:val="6A6459"/>
          <w:sz w:val="18"/>
          <w:szCs w:val="18"/>
        </w:rPr>
        <w:t xml:space="preserve">© 2026 Izana. All rights reserved.</w:t>
      </w:r>
    </w:p>
    <w:p>
      <w:pPr>
        <w:spacing w:after="80" w:line="264"/>
      </w:pPr>
      <w:r>
        <w:rPr>
          <w:rFonts w:ascii="Arial" w:cs="Arial" w:eastAsia="Arial" w:hAnsi="Arial"/>
          <w:b w:val="false"/>
          <w:bCs w:val="false"/>
          <w:i/>
          <w:iCs/>
          <w:color w:val="9C8F7C"/>
          <w:sz w:val="18"/>
          <w:szCs w:val="18"/>
        </w:rPr>
        <w:t xml:space="preserve">Suggested citation: Izana (2026) The Cost of Waiting: Delayed Childbearing and the Economics of Fertility Timing. Izana market paper. Madrid: Izana.</w:t>
      </w:r>
    </w:p>
    <w:sectPr>
      <w:footerReference w:type="default" r:id="rId7"/>
      <w:pgSz w:w="11906" w:h="16838" w:orient="portrait"/>
      <w:pgMar w:top="1440" w:right="1620" w:bottom="1440" w:left="16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4DECF" w:sz="4" w:space="6"/>
      </w:pBdr>
      <w:tabs>
        <w:tab w:val="right" w:pos="8666"/>
      </w:tabs>
    </w:pPr>
    <w:r>
      <w:rPr>
        <w:rFonts w:ascii="Arial" w:cs="Arial" w:eastAsia="Arial" w:hAnsi="Arial"/>
        <w:color w:val="9C8F7C"/>
        <w:sz w:val="16"/>
        <w:szCs w:val="16"/>
      </w:rPr>
      <w:t xml:space="preserve">The Cost of Waiting  ·  An Izana market paper  ·  May 2026</w:t>
    </w:r>
    <w:r>
      <w:rPr>
        <w:rFonts w:ascii="Arial" w:cs="Arial" w:eastAsia="Arial" w:hAnsi="Arial"/>
        <w:sz w:val="16"/>
        <w:szCs w:val="16"/>
      </w:rPr>
      <w:t xml:space="preserve">	</w:t>
    </w:r>
    <w:r>
      <w:rPr>
        <w:rFonts w:ascii="Arial" w:cs="Arial" w:eastAsia="Arial" w:hAnsi="Arial"/>
        <w:color w:val="9C8F7C"/>
        <w:sz w:val="16"/>
        <w:szCs w:val="16"/>
      </w:rPr>
      <w:t xml:space="preserve">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5302A"/>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2026-05-29T07:30:49.609Z</dcterms:created>
  <dcterms:modified xsi:type="dcterms:W3CDTF">2026-05-29T07:30:49.621Z</dcterms:modified>
</cp:coreProperties>
</file>

<file path=docProps/custom.xml><?xml version="1.0" encoding="utf-8"?>
<Properties xmlns="http://schemas.openxmlformats.org/officeDocument/2006/custom-properties" xmlns:vt="http://schemas.openxmlformats.org/officeDocument/2006/docPropsVTypes"/>
</file>