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6274" w14:textId="77777777" w:rsidR="008626A2" w:rsidRDefault="00000000">
      <w:pPr>
        <w:spacing w:before="120" w:after="60"/>
        <w:jc w:val="center"/>
      </w:pPr>
      <w:r>
        <w:rPr>
          <w:b/>
          <w:bCs/>
          <w:color w:val="5D51C4"/>
          <w:spacing w:val="30"/>
          <w:sz w:val="18"/>
          <w:szCs w:val="18"/>
        </w:rPr>
        <w:t>I Z A N A   ·   C L I N I C A L   P A P E R</w:t>
      </w:r>
    </w:p>
    <w:p w14:paraId="5464B024" w14:textId="77777777" w:rsidR="008626A2" w:rsidRDefault="00000000">
      <w:pPr>
        <w:spacing w:after="40"/>
        <w:jc w:val="center"/>
      </w:pPr>
      <w:r>
        <w:rPr>
          <w:b/>
          <w:bCs/>
          <w:sz w:val="54"/>
          <w:szCs w:val="54"/>
        </w:rPr>
        <w:t>The Inter-Cycle Gap</w:t>
      </w:r>
    </w:p>
    <w:p w14:paraId="35C6312A" w14:textId="77777777" w:rsidR="008626A2" w:rsidRDefault="00000000">
      <w:pPr>
        <w:spacing w:after="60"/>
        <w:jc w:val="center"/>
      </w:pPr>
      <w:r>
        <w:rPr>
          <w:color w:val="5A554C"/>
          <w:sz w:val="30"/>
          <w:szCs w:val="30"/>
        </w:rPr>
        <w:t>Why IVF Care Stops at the Clinic Door</w:t>
      </w:r>
    </w:p>
    <w:p w14:paraId="0F58FB2B" w14:textId="05A6ACF0" w:rsidR="008626A2" w:rsidRDefault="00000000">
      <w:pPr>
        <w:spacing w:after="140"/>
        <w:jc w:val="center"/>
      </w:pPr>
      <w:r>
        <w:rPr>
          <w:color w:val="5A554C"/>
        </w:rPr>
        <w:t xml:space="preserve">Treatment discontinuation, partner exclusion, and the case for </w:t>
      </w:r>
      <w:r w:rsidR="008151D2">
        <w:rPr>
          <w:color w:val="5A554C"/>
        </w:rPr>
        <w:t>clinically governed</w:t>
      </w:r>
      <w:r>
        <w:rPr>
          <w:color w:val="5A554C"/>
        </w:rPr>
        <w:t xml:space="preserve"> companion care</w:t>
      </w:r>
    </w:p>
    <w:p w14:paraId="63A84B1B" w14:textId="77777777" w:rsidR="008626A2" w:rsidRDefault="008626A2">
      <w:pPr>
        <w:pBdr>
          <w:bottom w:val="single" w:sz="6" w:space="1" w:color="7C6FEB"/>
        </w:pBdr>
        <w:spacing w:before="40" w:after="200"/>
        <w:jc w:val="center"/>
      </w:pPr>
    </w:p>
    <w:p w14:paraId="4A562446" w14:textId="7A9CA55F" w:rsidR="008626A2" w:rsidRDefault="00000000">
      <w:pPr>
        <w:spacing w:after="340"/>
        <w:jc w:val="center"/>
      </w:pPr>
      <w:r>
        <w:rPr>
          <w:i/>
          <w:iCs/>
          <w:color w:val="5A554C"/>
          <w:sz w:val="20"/>
          <w:szCs w:val="20"/>
        </w:rPr>
        <w:t xml:space="preserve">An Izana clinical paper, co-authored with </w:t>
      </w:r>
      <w:r w:rsidR="008151D2">
        <w:rPr>
          <w:i/>
          <w:iCs/>
          <w:color w:val="5A554C"/>
          <w:sz w:val="20"/>
          <w:szCs w:val="20"/>
        </w:rPr>
        <w:t xml:space="preserve">Dr. Baiju Ahamed, Dr. Vani </w:t>
      </w:r>
      <w:proofErr w:type="spellStart"/>
      <w:r w:rsidR="008151D2">
        <w:rPr>
          <w:i/>
          <w:iCs/>
          <w:color w:val="5A554C"/>
          <w:sz w:val="20"/>
          <w:szCs w:val="20"/>
        </w:rPr>
        <w:t>Sundarapandian</w:t>
      </w:r>
      <w:proofErr w:type="spellEnd"/>
      <w:r w:rsidR="008151D2">
        <w:rPr>
          <w:i/>
          <w:iCs/>
          <w:color w:val="5A554C"/>
          <w:sz w:val="20"/>
          <w:szCs w:val="20"/>
        </w:rPr>
        <w:t xml:space="preserve"> and Dr. Atul Ganatra</w:t>
      </w:r>
    </w:p>
    <w:p w14:paraId="65BA669F" w14:textId="77777777" w:rsidR="008626A2" w:rsidRDefault="00000000">
      <w:pPr>
        <w:pStyle w:val="Heading1"/>
      </w:pPr>
      <w:r>
        <w:rPr>
          <w:color w:val="5D51C4"/>
        </w:rPr>
        <w:t>1</w:t>
      </w:r>
      <w:r>
        <w:t xml:space="preserve">    Executive Summary</w:t>
      </w:r>
    </w:p>
    <w:p w14:paraId="3AFFCFC2" w14:textId="77777777" w:rsidR="008626A2" w:rsidRDefault="00000000">
      <w:pPr>
        <w:spacing w:after="170" w:line="278" w:lineRule="auto"/>
        <w:jc w:val="both"/>
      </w:pPr>
      <w:r>
        <w:t>In vitro fertilisation has become one of the most refined procedures in modern medicine. Stimulation protocols, laboratory technique, and embryo selection have all improved measurably over two decades. Yet a substantial share of couples who begin IVF stop before they achieve a live birth. A recent meta-analysis of 62 studies, covering more than 330,000 patients across 20 countries, put the pooled discontinuation rate in assisted reproduction at roughly 37% (Shen et al., 2026). When researchers ask couples why they stopped, the answer is rarely the one a clinic would predict. Across health systems with very different funding models, the reasons given are predominantly psychological and experiential rather than medical or financial (Rajkhowa, McConnell and Thomas, 2006; Verberg et al., 2008). The burden of treatment, more than its cost and more than a single failed cycle, is what most often ends it.</w:t>
      </w:r>
    </w:p>
    <w:p w14:paraId="02D211D5" w14:textId="77777777" w:rsidR="008626A2" w:rsidRDefault="00000000">
      <w:pPr>
        <w:spacing w:after="170" w:line="278" w:lineRule="auto"/>
        <w:jc w:val="both"/>
      </w:pPr>
      <w:r>
        <w:t>That burden is not carried in the clinic. A stimulation cycle involves only a handful of hours of direct clinical contact. Everything else is lived at home: the injections, the side effects, the dietary decisions, the waiting, the fear, almost all of it unsupported and almost entirely invisible to the care team. Clinics direct the medicine with precision and see very little of the days between appointments. This is the inter-cycle gap: the space where most of the patient experience occurs, and where most of the modifiable burden sits.</w:t>
      </w:r>
    </w:p>
    <w:p w14:paraId="5002CF60" w14:textId="7E686231" w:rsidR="008626A2" w:rsidRDefault="00000000">
      <w:pPr>
        <w:spacing w:after="170" w:line="278" w:lineRule="auto"/>
        <w:jc w:val="both"/>
      </w:pPr>
      <w:r>
        <w:t xml:space="preserve">This paper makes a direct argument. If the burden of treatment is what most often ends it, and if that burden concentrates in the hours the clinic cannot see, then the most underused opportunity in fertility care is the at-home experience itself. That experience can be supported without altering a single element of the medical protocol. What is required is not a new treatment but a new layer of care: a </w:t>
      </w:r>
      <w:r w:rsidR="00372FE8">
        <w:t>clinically governed</w:t>
      </w:r>
      <w:r>
        <w:t xml:space="preserve"> companion that extends the clinic’s reach into the inter-cycle gap and returns what it learns to the care team. What makes this newly possible is instrumentation. The wearable devices patients already own can turn the unobserved days into continuous, clinically meaningful signal.</w:t>
      </w:r>
    </w:p>
    <w:p w14:paraId="16DA7C28" w14:textId="77777777" w:rsidR="008626A2" w:rsidRDefault="00000000">
      <w:pPr>
        <w:spacing w:after="170" w:line="278" w:lineRule="auto"/>
        <w:jc w:val="both"/>
      </w:pPr>
      <w:r>
        <w:t>Izana is built to be that layer: distributed through clinics rather than around them, supervised by clinicians, and designed from the outset to be measured. The sections that follow set out the evidence for the inter-cycle gap, examine why the technology of IVF has not closed it, and propose a framework for care that could. The paper closes with a concrete and deliberately low-risk proposal: a single-cohort pilot, evaluated against a clinic’s own baseline, that tests this argument rather than asking anyone to accept it on trust.</w:t>
      </w:r>
    </w:p>
    <w:p w14:paraId="56D9D2B0" w14:textId="77777777" w:rsidR="008626A2" w:rsidRDefault="00000000">
      <w:pPr>
        <w:pStyle w:val="Heading1"/>
      </w:pPr>
      <w:r>
        <w:rPr>
          <w:color w:val="5D51C4"/>
        </w:rPr>
        <w:lastRenderedPageBreak/>
        <w:t>2</w:t>
      </w:r>
      <w:r>
        <w:t xml:space="preserve">    The Paradox of Modern IVF</w:t>
      </w:r>
    </w:p>
    <w:p w14:paraId="7D7480B3" w14:textId="77777777" w:rsidR="008626A2" w:rsidRDefault="00000000">
      <w:pPr>
        <w:spacing w:after="170" w:line="278" w:lineRule="auto"/>
        <w:jc w:val="both"/>
      </w:pPr>
      <w:r>
        <w:t>A well-run fertility clinic is one of the quiet achievements of modern medicine. Over the past two decades, stimulation protocols have grown more precise, laboratory conditions more tightly controlled, and embryo assessment more sophisticated. A patient in monitoring today is measured, timed, and adjusted with a rigour that would have been difficult to imagine a generation ago. Inside the clinic, IVF is a genuinely optimised process. It is worth noting even here that the most advanced monitoring in modern IVF, namely continuous time-lapse imaging of the embryo and artificial-intelligence-assisted grading, is aimed at the laboratory and never at the patient. Section 6 returns to that asymmetry.</w:t>
      </w:r>
    </w:p>
    <w:p w14:paraId="797A6044" w14:textId="77777777" w:rsidR="008626A2" w:rsidRDefault="00000000">
      <w:pPr>
        <w:spacing w:after="170" w:line="278" w:lineRule="auto"/>
        <w:jc w:val="both"/>
      </w:pPr>
      <w:r>
        <w:t>The difficulty is that an IVF cycle is not lived inside the clinic. A stimulation cycle unfolds over roughly two weeks, and a patient’s direct contact with the care team across that time amounts to a few monitoring visits, a consultation or two, and the procedure itself: on the order of six hours in total.</w:t>
      </w:r>
      <w:r>
        <w:rPr>
          <w:rStyle w:val="FootnoteReference"/>
        </w:rPr>
        <w:footnoteReference w:id="1"/>
      </w:r>
      <w:r>
        <w:t xml:space="preserve"> Everything else happens elsewhere. The injections are administered at home. The side effects are managed at home. The questions of what to eat, what is normal, what is worth a phone call, and what the latest symptom means are answered, or left unanswered, at home. The clinic directs the medicine with precision and sees almost none of the cycle that surrounds it.</w:t>
      </w:r>
    </w:p>
    <w:p w14:paraId="66CBF9AD" w14:textId="77777777" w:rsidR="008626A2" w:rsidRDefault="00000000">
      <w:pPr>
        <w:spacing w:before="120" w:after="60"/>
        <w:jc w:val="center"/>
      </w:pPr>
      <w:r>
        <w:rPr>
          <w:noProof/>
        </w:rPr>
        <w:drawing>
          <wp:inline distT="0" distB="0" distL="0" distR="0" wp14:anchorId="17E738F3" wp14:editId="1C80748F">
            <wp:extent cx="5543550" cy="138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543550" cy="1381125"/>
                    </a:xfrm>
                    <a:prstGeom prst="rect">
                      <a:avLst/>
                    </a:prstGeom>
                  </pic:spPr>
                </pic:pic>
              </a:graphicData>
            </a:graphic>
          </wp:inline>
        </w:drawing>
      </w:r>
    </w:p>
    <w:p w14:paraId="3A364E1F" w14:textId="77777777" w:rsidR="008626A2" w:rsidRDefault="00000000">
      <w:pPr>
        <w:spacing w:after="200"/>
        <w:jc w:val="center"/>
      </w:pPr>
      <w:r>
        <w:rPr>
          <w:b/>
          <w:bCs/>
          <w:sz w:val="18"/>
          <w:szCs w:val="18"/>
        </w:rPr>
        <w:t xml:space="preserve">Figure 1.  </w:t>
      </w:r>
      <w:r>
        <w:rPr>
          <w:i/>
          <w:iCs/>
          <w:color w:val="5A554C"/>
          <w:sz w:val="18"/>
          <w:szCs w:val="18"/>
        </w:rPr>
        <w:t>Illustrative distribution of time across a single stimulation cycle. Figures are illustrative and to be recomputed from the partner clinic’s own protocol.</w:t>
      </w:r>
    </w:p>
    <w:p w14:paraId="505FC0CB" w14:textId="77777777" w:rsidR="008626A2" w:rsidRDefault="00000000">
      <w:pPr>
        <w:spacing w:after="170" w:line="278" w:lineRule="auto"/>
        <w:jc w:val="both"/>
      </w:pPr>
      <w:r>
        <w:t>This would matter less if the unsupported hours were the easy ones. They are not. Research on the psychological course of IVF consistently identifies two points as the most stressful in a cycle: the oocyte retrieval, and the waiting period that follows embryo transfer (</w:t>
      </w:r>
      <w:proofErr w:type="spellStart"/>
      <w:r>
        <w:t>Grammenou</w:t>
      </w:r>
      <w:proofErr w:type="spellEnd"/>
      <w:r>
        <w:t xml:space="preserve"> et al., 2026). The second of these, the two-week wait, is also the point at which regular clinical contact effectively ends. The patient is sent home to wait, and the interval the evidence identifies as the hardest is the interval in which the clinic is, by design, least present. The structure of care and the structure of distress are very nearly mirror images of one another.</w:t>
      </w:r>
    </w:p>
    <w:p w14:paraId="04741B2B" w14:textId="3C5DDA19" w:rsidR="008626A2" w:rsidRDefault="00000000">
      <w:pPr>
        <w:spacing w:after="170" w:line="278" w:lineRule="auto"/>
        <w:jc w:val="both"/>
      </w:pPr>
      <w:r>
        <w:t xml:space="preserve">Filled in with detail, the gap becomes harder to dismiss. A patient mid-stimulation is self-administering hormone injections on a fixed schedule, often for the first time in her life, while managing the bloating, fatigue, and mood effects the medication reliably produces. She is making daily decisions, about movement, about diet, about whether a given symptom warrants a call, with no guidance calibrated to the phase she is in. Her partner, rarely addressed by the care pathway at all, is absorbing his own fear with nowhere to put it. And in the quiet hours, the catastrophic thought tends to </w:t>
      </w:r>
      <w:r w:rsidR="00372FE8">
        <w:t>arrive</w:t>
      </w:r>
      <w:r>
        <w:t xml:space="preserve"> that it will not work, that the previous cycle was the last realistic chance, that there is nothing left to try. None of this is visible at the next appointment unless the patient chooses to raise it, and most do not.</w:t>
      </w:r>
    </w:p>
    <w:p w14:paraId="7542F7EA" w14:textId="5882633A" w:rsidR="008626A2" w:rsidRDefault="00000000">
      <w:pPr>
        <w:spacing w:after="170" w:line="278" w:lineRule="auto"/>
        <w:jc w:val="both"/>
      </w:pPr>
      <w:r>
        <w:lastRenderedPageBreak/>
        <w:t xml:space="preserve">It is worth being precise about why the gap exists, because it is not a failure of effort or of care. Clinical care and experiential care are, in practice, two different products. The first is what clinics are built, staffed, reimbursed, and regulated to provide, and they provide it well. The second, continuous, at-home, phase-aware support that carries a couple through the inter-cycle hours, has no natural owner. It does not fit inside a monitoring appointment. It is not what a reproductive endocrinologist or an embryologist is scheduled to deliver. It is not, in most systems, reimbursed. The gap is structural: the predictable result of a </w:t>
      </w:r>
      <w:proofErr w:type="spellStart"/>
      <w:r w:rsidR="00372FE8">
        <w:t>care</w:t>
      </w:r>
      <w:proofErr w:type="spellEnd"/>
      <w:r>
        <w:t xml:space="preserve"> model whose tools, staffing, and incentives all stop at the clinic door.</w:t>
      </w:r>
    </w:p>
    <w:p w14:paraId="252DCE29" w14:textId="77777777" w:rsidR="008626A2" w:rsidRDefault="00000000">
      <w:pPr>
        <w:spacing w:after="170" w:line="278" w:lineRule="auto"/>
        <w:jc w:val="both"/>
      </w:pPr>
      <w:r>
        <w:t>That structural gap is the subject of this paper. It would be easy to file it under patient wellbeing, a worthy concern but one most clinics treat as secondary. The argument here is narrower and more pointed. The inter-cycle gap is a clinical blind spot and a retention problem: it is where the burden that ends treatment is generated, and it is invisible to the people best placed to respond. The next section quantifies that burden in the terms clinics already track, namely how many couples discontinue, and why.</w:t>
      </w:r>
    </w:p>
    <w:p w14:paraId="694AC200" w14:textId="77777777" w:rsidR="008626A2" w:rsidRDefault="00000000">
      <w:pPr>
        <w:pStyle w:val="Heading1"/>
      </w:pPr>
      <w:r>
        <w:rPr>
          <w:color w:val="5D51C4"/>
        </w:rPr>
        <w:t>3</w:t>
      </w:r>
      <w:r>
        <w:t xml:space="preserve">    The Discontinuation Problem</w:t>
      </w:r>
    </w:p>
    <w:p w14:paraId="7401624C" w14:textId="77777777" w:rsidR="008626A2" w:rsidRDefault="00000000">
      <w:pPr>
        <w:spacing w:after="170" w:line="278" w:lineRule="auto"/>
        <w:jc w:val="both"/>
      </w:pPr>
      <w:r>
        <w:t>Most IVF journeys do not end with a baby, and they do not end with a clear medical verdict either. They end quietly, with a couple deciding not to book the next cycle. Discontinuation, the point at which a couple stops treatment before a live birth and before their clinician would say the medical options are exhausted, is one of the most consequential outcomes in fertility care and one of the least discussed. It is also common. A 2026 systematic review and meta-analysis of 62 studies, covering 330,593 patients across 20 countries, estimated a pooled discontinuation rate of about 37% in assisted reproductive treatment, with a 95% confidence interval of 32 to 42% (Shen et al., 2026). Individual studies range more widely still, because health systems, funding models, and the very definition of dropout differ from one to another (Gameiro et al., 2012). But the central estimate is stable and large: roughly one in three couples who could continue do not.</w:t>
      </w:r>
    </w:p>
    <w:p w14:paraId="7424F7D1" w14:textId="77777777" w:rsidR="008626A2" w:rsidRDefault="00000000">
      <w:pPr>
        <w:spacing w:after="170" w:line="278" w:lineRule="auto"/>
        <w:jc w:val="both"/>
      </w:pPr>
      <w:r>
        <w:t>The more important question is why. The intuitive answer, and the one a clinic might reach for, is that couples stop because a cycle failed or because they ran out of money. The evidence does not support that as the main story. In a questionnaire study of couples who discontinued IVF, psychological and emotional stress was cited far more often than the cost of treatment as the reason for stopping (Rajkhowa, McConnell and Thomas, 2006). A large prospective cohort found the same pattern from the other direction: of the couples who dropped out, the single most frequent reason was the physical and psychological burden of treatment itself, ahead of poor prognosis and ahead of financial concerns (Verberg et al., 2008).</w:t>
      </w:r>
    </w:p>
    <w:p w14:paraId="4943F0A8" w14:textId="77777777" w:rsidR="008626A2" w:rsidRDefault="00000000">
      <w:pPr>
        <w:spacing w:after="170" w:line="278" w:lineRule="auto"/>
        <w:jc w:val="both"/>
      </w:pPr>
      <w:r>
        <w:t>The obvious objection is that cost is simply hidden inside those answers, and that couples in a pay-as-you-go system will always, in the end, be stopped by money. That objection can be tested directly, by looking at couples for whom cost has largely been removed. A prospective study of insured United States patients, whose treatment was substantially covered, found that even there the leading reasons for dropping out were psychological rather than financial (Domar et al., 2010). When cost is taken out of the equation, burden does not disappear. It remains the thing that ends treatment.</w:t>
      </w:r>
    </w:p>
    <w:p w14:paraId="4E742DE1" w14:textId="77777777" w:rsidR="008626A2" w:rsidRDefault="00000000">
      <w:pPr>
        <w:spacing w:after="170" w:line="278" w:lineRule="auto"/>
        <w:jc w:val="both"/>
      </w:pPr>
      <w:r>
        <w:t xml:space="preserve">This matters because burden, unlike a patient’s age or ovarian reserve, is not fixed. There is direct evidence that it can be moved. The same cohort study that identified burden as the dominant reason for dropout also compared two stimulation strategies and found that the </w:t>
      </w:r>
      <w:r>
        <w:lastRenderedPageBreak/>
        <w:t>milder, less demanding protocol roughly halved the risk of discontinuation (Verberg et al., 2008). The mechanism is not mysterious: a less burdensome experience produced fewer couples who walked away. If reducing burden reduces dropout, then burden is not a regrettable constant of IVF. It is a lever.</w:t>
      </w:r>
    </w:p>
    <w:p w14:paraId="5A10EA34" w14:textId="77777777" w:rsidR="008626A2" w:rsidRDefault="00000000">
      <w:pPr>
        <w:spacing w:after="170" w:line="278" w:lineRule="auto"/>
        <w:jc w:val="both"/>
      </w:pPr>
      <w:r>
        <w:t>The reason that lever is worth pulling becomes clear once IVF success is measured properly. A single cycle’s success rate is a poor description of what IVF can do for a couple, because most couples who succeed do so over more than one cycle. Measured cumulatively, the picture changes. The largest study of its kind followed more than six thousand women through up to six cycles of IVF and reported the cumulative live-birth rate two ways (Malizia, Hacker and Penzias, 2009). The optimistic estimate, which assumes that couples who stopped would have fared as well as those who continued, reached 72% after six cycles. The conservative estimate, which assumes no live births at all among those who stopped, reached 51%. Both numbers are real. The space between them, more than twenty percentage points, is the territory of discontinuation: it is the live births that depend not on biology but on whether couples carry on.</w:t>
      </w:r>
    </w:p>
    <w:p w14:paraId="55F5A215" w14:textId="6C2CAF45" w:rsidR="008626A2" w:rsidRDefault="00000000">
      <w:pPr>
        <w:spacing w:after="170" w:line="278" w:lineRule="auto"/>
        <w:jc w:val="both"/>
      </w:pPr>
      <w:r>
        <w:t xml:space="preserve">Set side by side, these findings make a single argument. Discontinuation is common; it is driven substantially by a burden that is modifiable rather than fixed; and it subtracts directly and measurably from the cumulative live births a clinic’s patients achieve. Reducing avoidable discontinuation is therefore not a question of patient comfort at the margin. It is one of the few remaining ways to improve the real-world results of IVF without altering the medicine at all. Which raises the question the next section addresses: if burden is what drives couples to stop, where, </w:t>
      </w:r>
      <w:r w:rsidR="00372FE8">
        <w:t>during</w:t>
      </w:r>
      <w:r>
        <w:t xml:space="preserve"> a cycle, does that burden </w:t>
      </w:r>
      <w:r w:rsidR="00372FE8">
        <w:t>accumulate</w:t>
      </w:r>
      <w:r>
        <w:t>?</w:t>
      </w:r>
    </w:p>
    <w:p w14:paraId="4B57EDA0" w14:textId="77777777" w:rsidR="008626A2" w:rsidRDefault="00000000">
      <w:pPr>
        <w:pStyle w:val="Heading1"/>
      </w:pPr>
      <w:r>
        <w:rPr>
          <w:color w:val="5D51C4"/>
        </w:rPr>
        <w:t>4</w:t>
      </w:r>
      <w:r>
        <w:t xml:space="preserve">    The Inter-Cycle Gap, Defined</w:t>
      </w:r>
    </w:p>
    <w:p w14:paraId="0743DF7B" w14:textId="63A22ED1" w:rsidR="008626A2" w:rsidRDefault="00000000">
      <w:pPr>
        <w:spacing w:after="170" w:line="278" w:lineRule="auto"/>
        <w:jc w:val="both"/>
      </w:pPr>
      <w:r>
        <w:t xml:space="preserve">This paper has used the phrase inter-cycle gap several times. It is worth defining precisely, because the argument depends on treating it as a specific object rather than a general unease. The inter-cycle gap is the whole of the IVF experience that falls outside clinical contact. It has two parts. The first is the at-home time within a single cycle: the days of a stimulation cycle spent away from the clinic. The second is the stretch between one cycle and the next: the weeks or months after an unsuccessful attempt, before a couple decides whether to begin again. Both are lived almost entirely without clinical presence, and together they make up the great majority of an IVF journey as the patient </w:t>
      </w:r>
      <w:r w:rsidR="00372FE8">
        <w:t>experiences</w:t>
      </w:r>
      <w:r>
        <w:t xml:space="preserve"> it.</w:t>
      </w:r>
    </w:p>
    <w:p w14:paraId="51E128AE" w14:textId="77777777" w:rsidR="008626A2" w:rsidRDefault="00000000">
      <w:pPr>
        <w:spacing w:after="170" w:line="278" w:lineRule="auto"/>
        <w:jc w:val="both"/>
      </w:pPr>
      <w:r>
        <w:t>As Section 2 established, the clinical part of a cycle is small, on the order of a few hours across two weeks, and the unobserved part is almost all of it. The between-cycle interval is larger still and, for a couple between attempts, almost wholly unsupported. By any honest accounting of where an IVF journey is spent, it is spent in the gap.</w:t>
      </w:r>
    </w:p>
    <w:p w14:paraId="45E2817D" w14:textId="77777777" w:rsidR="008626A2" w:rsidRDefault="00000000">
      <w:pPr>
        <w:spacing w:after="170" w:line="278" w:lineRule="auto"/>
        <w:jc w:val="both"/>
      </w:pPr>
      <w:r>
        <w:t>Size alone would matter less if the gap held only the easy hours. It does not. The moments the evidence identifies as the most stressful fall squarely inside it: the days of self-administered injection, with the bloating and fatigue the medication produces; the daily decisions taken without guidance calibrated to the phase; and above all the waiting period after embryo transfer, which is both the hardest stretch of the cycle and the one in which the clinic is, by design, least present. The gap is not empty time. It is concentrated, unsupported difficulty.</w:t>
      </w:r>
    </w:p>
    <w:p w14:paraId="1D8E6FEE" w14:textId="56674E60" w:rsidR="008626A2" w:rsidRDefault="00000000">
      <w:pPr>
        <w:spacing w:after="170" w:line="278" w:lineRule="auto"/>
        <w:jc w:val="both"/>
      </w:pPr>
      <w:r>
        <w:t xml:space="preserve">The between-cycle interval carries a different weight. It is where the discontinuation decision described in Section 3 is </w:t>
      </w:r>
      <w:r w:rsidR="00372FE8">
        <w:t>made</w:t>
      </w:r>
      <w:r>
        <w:t xml:space="preserve">. A couple does not usually decide to stop in the consulting room. </w:t>
      </w:r>
      <w:r>
        <w:lastRenderedPageBreak/>
        <w:t>They decide in the weeks after a failed cycle, at home, while the disappointment is fresh and the prospect of repeating the whole experience is vivid. That interval is the single most decision-critical stretch of the entire journey, and it is the one with no clinical owner at all. The cycle has ended, the next has not begun, and the couple is, in the eyes of the care pathway, between episodes rather than in care.</w:t>
      </w:r>
    </w:p>
    <w:p w14:paraId="7C68B6ED" w14:textId="77777777" w:rsidR="008626A2" w:rsidRDefault="00000000">
      <w:pPr>
        <w:spacing w:after="170" w:line="278" w:lineRule="auto"/>
        <w:jc w:val="both"/>
      </w:pPr>
      <w:r>
        <w:t>Defined this way, the inter-cycle gap is not a vague concern. It is a clinical object with three specific properties. It is where the burden that drives discontinuation accumulates. It is where the decision to discontinue is taken. And it is structurally invisible to the clinicians best placed to intervene, because nothing in the standard care pathway is built to observe it. A problem with those three properties is not a wellbeing footnote. It is a defined target. And within that target there is a second person the clinic sees even less clearly than the patient, which is the subject of the next section.</w:t>
      </w:r>
    </w:p>
    <w:p w14:paraId="583EAE83" w14:textId="77777777" w:rsidR="008626A2" w:rsidRDefault="00000000">
      <w:pPr>
        <w:pStyle w:val="Heading1"/>
      </w:pPr>
      <w:r>
        <w:rPr>
          <w:color w:val="5D51C4"/>
        </w:rPr>
        <w:t>5</w:t>
      </w:r>
      <w:r>
        <w:t xml:space="preserve">    The Invisible Partner</w:t>
      </w:r>
    </w:p>
    <w:p w14:paraId="77B9C090" w14:textId="77777777" w:rsidR="008626A2" w:rsidRDefault="00000000">
      <w:pPr>
        <w:spacing w:after="170" w:line="278" w:lineRule="auto"/>
        <w:jc w:val="both"/>
      </w:pPr>
      <w:r>
        <w:t>An IVF cycle involves two people. The care pathway is built around one of them. In different-sex couples the partner who does not carry the treatment is, in practice, usually the man, and his involvement tends to follow a particular shape: present and engaged at the consultations that begin a cycle, and then, as the medical work moves to his partner’s body, increasingly to one side of a process that no longer has an obvious place for him.</w:t>
      </w:r>
    </w:p>
    <w:p w14:paraId="2C1D4083" w14:textId="77777777" w:rsidR="008626A2" w:rsidRDefault="00000000">
      <w:pPr>
        <w:spacing w:after="170" w:line="278" w:lineRule="auto"/>
        <w:jc w:val="both"/>
      </w:pPr>
      <w:r>
        <w:t>That marginal position should not be mistaken for the partner being unaffected. The evidence is clear that men experience genuine psychological distress through fertility treatment, and that it is common. In a study of 222 men undergoing IVF at a hospital-affiliated fertility centre, 22.5% screened positive for anxiety and 6.5% for depression on a validated scale (Walker et al., 2023). A recent narrative review of the psychological impact of male infertility found consistent associations with depression, anxiety, diminished self-esteem, and a disruption of identity, and concluded that these effects are routinely under-recognised and inadequately managed in both research and clinical practice (Sahoo et al., 2025). The distress is real and measurable; the attention paid to it is not.</w:t>
      </w:r>
    </w:p>
    <w:p w14:paraId="7940A027" w14:textId="77777777" w:rsidR="008626A2" w:rsidRDefault="00000000">
      <w:pPr>
        <w:spacing w:after="170" w:line="278" w:lineRule="auto"/>
        <w:jc w:val="both"/>
      </w:pPr>
      <w:r>
        <w:t>The reason for that imbalance is structural rather than anyone’s intention. Because the treatment acts on the woman’s body, the monitoring, the procedures, and the clinical pathway all necessarily centre on her. The partner’s experience has no equivalent point of contact. There is no appointment at which his anxiety is the subject, and no part of the standard pathway designed to inform or support him. He is present for the medicine and absent from the care, and his fear, like the patient’s, is carried at home, in the inter-cycle gap, with nowhere to put it.</w:t>
      </w:r>
    </w:p>
    <w:p w14:paraId="3F4CEBB5" w14:textId="77777777" w:rsidR="008626A2" w:rsidRDefault="00000000">
      <w:pPr>
        <w:spacing w:after="170" w:line="278" w:lineRule="auto"/>
        <w:jc w:val="both"/>
      </w:pPr>
      <w:r>
        <w:t xml:space="preserve">This would be a question of fairness if its effects stopped with the partner. They do not, because IVF is not endured as two separate experiences but as a </w:t>
      </w:r>
      <w:proofErr w:type="gramStart"/>
      <w:r>
        <w:t>couple’s</w:t>
      </w:r>
      <w:proofErr w:type="gramEnd"/>
      <w:r>
        <w:t>. The psychological state of one member of a couple shapes the other’s; reviews of the psychological course of IVF find that the way partners relate to one another, including partner attachment, mediates the relationship between infertility-related stress and the distress an individual ultimately carries (</w:t>
      </w:r>
      <w:proofErr w:type="spellStart"/>
      <w:r>
        <w:t>Grammenou</w:t>
      </w:r>
      <w:proofErr w:type="spellEnd"/>
      <w:r>
        <w:t xml:space="preserve"> et al., 2026). A partner who is frightened and unsupported is therefore not a separate and lesser problem alongside the patient’s burden. He is part of that burden. And because the decision to discontinue treatment, as Section 3 described, is one that couples reach together, the unsupported partner is quietly present in that decision too.</w:t>
      </w:r>
    </w:p>
    <w:p w14:paraId="04FB5C0B" w14:textId="70F0D7BA" w:rsidR="008626A2" w:rsidRDefault="00000000">
      <w:pPr>
        <w:spacing w:after="170" w:line="278" w:lineRule="auto"/>
        <w:jc w:val="both"/>
      </w:pPr>
      <w:r>
        <w:lastRenderedPageBreak/>
        <w:t xml:space="preserve">The implication is straightforward. To close the inter-cycle gap for the patient alone would be to close it for only half of the couple that </w:t>
      </w:r>
      <w:r w:rsidR="00372FE8">
        <w:t>lives</w:t>
      </w:r>
      <w:r>
        <w:t xml:space="preserve"> the cycle. A companion model that takes the gap seriously </w:t>
      </w:r>
      <w:r w:rsidR="00372FE8">
        <w:t>must</w:t>
      </w:r>
      <w:r>
        <w:t xml:space="preserve"> be dyadic by design: it </w:t>
      </w:r>
      <w:r w:rsidR="00372FE8">
        <w:t>must</w:t>
      </w:r>
      <w:r>
        <w:t xml:space="preserve"> give the partner his own information, his own understanding of what is happening and what helps, and his own channel for the fear he currently carries silently. Burden sits in the couple, and support that reaches only one person leaves most of it untouched. The next question is why the technology of modern IVF, for all its evident sophistication, has done so little about any of this.</w:t>
      </w:r>
    </w:p>
    <w:p w14:paraId="3A06CAF1" w14:textId="77777777" w:rsidR="008626A2" w:rsidRDefault="00000000">
      <w:pPr>
        <w:pStyle w:val="Heading1"/>
      </w:pPr>
      <w:r>
        <w:rPr>
          <w:color w:val="5D51C4"/>
        </w:rPr>
        <w:t>6</w:t>
      </w:r>
      <w:r>
        <w:t xml:space="preserve">    Why the Technology of IVF Has Not Closed the Gap</w:t>
      </w:r>
    </w:p>
    <w:p w14:paraId="31A45B30" w14:textId="77777777" w:rsidR="008626A2" w:rsidRDefault="00000000">
      <w:pPr>
        <w:spacing w:after="170" w:line="278" w:lineRule="auto"/>
        <w:jc w:val="both"/>
      </w:pPr>
      <w:r>
        <w:t>It would be wrong to say that IVF has stood still. Fertility medicine is one of the most actively engineered fields in healthcare, and the past decade has produced a genuine wave of innovation. The difficulty is not that the innovation is absent. It is where the innovation has been aimed.</w:t>
      </w:r>
    </w:p>
    <w:p w14:paraId="094B1FE6" w14:textId="77777777" w:rsidR="008626A2" w:rsidRDefault="00000000">
      <w:pPr>
        <w:spacing w:after="170" w:line="278" w:lineRule="auto"/>
        <w:jc w:val="both"/>
      </w:pPr>
      <w:r>
        <w:t>The defining technological development of recent years is artificial intelligence applied to embryo selection. Time-lapse incubation systems now photograph an embryo continuously as it develops, and deep-learning models trained on those image sequences are used to predict which embryo is most likely to implant. The pace of work is striking. One 2025 scoping review of the field screened more than seven hundred papers, and the tools are converging on a sensible role: their own developers describe them as decision-support for the embryologist rather than autonomous selectors, designed to slot into laboratory workflows by analysing the time-lapse footage clinics already capture (AlSaad et al., 2025). The field is mature enough to scrutinise its own claims; one 2025 review is titled, pointedly, ‘separating the dream from reality’ (Cohen et al., 2025). This is real progress, responsibly pursued.</w:t>
      </w:r>
    </w:p>
    <w:p w14:paraId="22137DC4" w14:textId="77777777" w:rsidR="008626A2" w:rsidRDefault="00000000">
      <w:pPr>
        <w:spacing w:after="170" w:line="278" w:lineRule="auto"/>
        <w:jc w:val="both"/>
      </w:pPr>
      <w:r>
        <w:t>But consider what it monitors. The embryo, for the few days it spends in the laboratory, has become one of the most closely observed entities in all of medicine: imaged continuously, modelled, and scored. Around it sits a second layer of technology serving the clinic itself, including electronic health records, scheduling and practice-management systems, and laboratory automation. Every one of these advances is real, and every one of them is pointed at the clinic, the laboratory, or the embryo.</w:t>
      </w:r>
    </w:p>
    <w:p w14:paraId="60CC9F6B" w14:textId="6ADAFEC0" w:rsidR="008626A2" w:rsidRDefault="00000000">
      <w:pPr>
        <w:spacing w:after="170" w:line="278" w:lineRule="auto"/>
        <w:jc w:val="both"/>
      </w:pPr>
      <w:r>
        <w:t>Now consider the patient. Across the two weeks of a stimulation cycle, the only technology built for her that exists at any scale is the consumer cycle-tracking app, and the evidence on that category is not reassuring. A critical appraisal of fertility and menstrual-tracking apps found that many are of low quality, that few address the needs of patients managing infertility, and that users should be wary of relying on their predictions (</w:t>
      </w:r>
      <w:proofErr w:type="spellStart"/>
      <w:r>
        <w:t>Zwingerman</w:t>
      </w:r>
      <w:proofErr w:type="spellEnd"/>
      <w:r>
        <w:t xml:space="preserve">, </w:t>
      </w:r>
      <w:proofErr w:type="spellStart"/>
      <w:r>
        <w:t>Chaikof</w:t>
      </w:r>
      <w:proofErr w:type="spellEnd"/>
      <w:r>
        <w:t xml:space="preserve"> and Jones, 2020). Nothing in the patient’s hands is designed for the cycle she is </w:t>
      </w:r>
      <w:r w:rsidR="00372FE8">
        <w:t>in</w:t>
      </w:r>
      <w:r>
        <w:t>, calibrated to its phases, or connected to the clinic treating her.</w:t>
      </w:r>
    </w:p>
    <w:p w14:paraId="250CB632" w14:textId="77777777" w:rsidR="008626A2" w:rsidRDefault="00000000">
      <w:pPr>
        <w:spacing w:after="170" w:line="278" w:lineRule="auto"/>
        <w:jc w:val="both"/>
      </w:pPr>
      <w:r>
        <w:t>The picture, set out plainly, is difficult to ignore. The embryo has time-lapse imaging. The laboratory has automation. The clinic has the electronic record. The patient, through the hardest fortnight of the process, has a consumer app that was not built for her situation. The inter-cycle gap is not the mark of a field that failed to innovate. It is the mark of a field that aimed its innovation, understandably, at the side of the problem it could already see. Closing the gap does not require waiting for new science. It requires pointing the same instinct, to measure carefully and decide from data, at the patient, and at the days she spends outside the clinic.</w:t>
      </w:r>
    </w:p>
    <w:p w14:paraId="73B66C56" w14:textId="77777777" w:rsidR="008626A2" w:rsidRDefault="00000000">
      <w:pPr>
        <w:pStyle w:val="Heading1"/>
      </w:pPr>
      <w:r>
        <w:rPr>
          <w:color w:val="5D51C4"/>
        </w:rPr>
        <w:lastRenderedPageBreak/>
        <w:t>7</w:t>
      </w:r>
      <w:r>
        <w:t xml:space="preserve">    Instrumenting the Inter-Cycle Gap</w:t>
      </w:r>
    </w:p>
    <w:p w14:paraId="386706B8" w14:textId="77777777" w:rsidR="008626A2" w:rsidRDefault="00000000">
      <w:pPr>
        <w:spacing w:after="170" w:line="278" w:lineRule="auto"/>
        <w:jc w:val="both"/>
      </w:pPr>
      <w:r>
        <w:t>If the inter-cycle gap persists partly because nothing measures it, then the first move toward closing it is not a new form of support but a new form of visibility. The days between appointments are not genuinely empty. They are simply unobserved, and they can be instrumented.</w:t>
      </w:r>
    </w:p>
    <w:p w14:paraId="637994D6" w14:textId="77777777" w:rsidR="008626A2" w:rsidRDefault="00000000">
      <w:pPr>
        <w:spacing w:after="170" w:line="278" w:lineRule="auto"/>
        <w:jc w:val="both"/>
      </w:pPr>
      <w:r>
        <w:t>The means already exist, and they are better validated than most clinicians assume. Consumer wearable devices, the wrist trackers and rings patients increasingly own, have become capable instruments of reproductive physiology. A 2024 systematic review found that wearables can detect the phases of the menstrual cycle with high accuracy by reading changes in heart rate, heart rate variability, temperature, and respiratory rate (</w:t>
      </w:r>
      <w:proofErr w:type="spellStart"/>
      <w:r>
        <w:t>Lyzwinski</w:t>
      </w:r>
      <w:proofErr w:type="spellEnd"/>
      <w:r>
        <w:t xml:space="preserve">, </w:t>
      </w:r>
      <w:proofErr w:type="spellStart"/>
      <w:r>
        <w:t>Elgendi</w:t>
      </w:r>
      <w:proofErr w:type="spellEnd"/>
      <w:r>
        <w:t xml:space="preserve"> and Menon, 2024). These are not soft signals. They are measurable, continuous, and they track the reproductive system in a way a questionnaire at the next appointment cannot.</w:t>
      </w:r>
    </w:p>
    <w:p w14:paraId="4A4FC755" w14:textId="3DE3318D" w:rsidR="008626A2" w:rsidRDefault="00000000">
      <w:pPr>
        <w:spacing w:after="170" w:line="278" w:lineRule="auto"/>
        <w:jc w:val="both"/>
      </w:pPr>
      <w:r>
        <w:t xml:space="preserve">Two honest qualifications belong here, and this paper states them rather than hiding them. The first is that consumer wearables are not clinical instruments: their accuracy, and the consistency with which patients wear them, both vary, a limitation the reproductive medicine field has noted directly (American Society for Reproductive Medicine, no date). The second matters more. Almost </w:t>
      </w:r>
      <w:r w:rsidR="00372FE8">
        <w:t>all</w:t>
      </w:r>
      <w:r>
        <w:t xml:space="preserve"> the validation above comes from tracking the fertile window for natural conception. The use of continuous wearable data during an IVF treatment cycle itself is barely </w:t>
      </w:r>
      <w:proofErr w:type="gramStart"/>
      <w:r>
        <w:t>studied, and</w:t>
      </w:r>
      <w:proofErr w:type="gramEnd"/>
      <w:r>
        <w:t xml:space="preserve"> exists today mainly as a handful of active clinical trials (ClinicalTrials.gov, no date a, no date b). This is precisely the white space Izana occupies, and precisely why the proposal in this paper is a measured pilot rather than a claim of proven results.</w:t>
      </w:r>
    </w:p>
    <w:p w14:paraId="719EEFCD" w14:textId="77777777" w:rsidR="008626A2" w:rsidRDefault="00000000">
      <w:pPr>
        <w:spacing w:after="170" w:line="278" w:lineRule="auto"/>
        <w:jc w:val="both"/>
      </w:pPr>
      <w:r>
        <w:t>It is worth meeting the obvious question directly. If Izana reads physiological strain, is it claiming to improve the success of an IVF cycle? It is not, and the evidence is the reason for that discipline. The landmark meta-analysis on this question found that emotional distress before treatment was not associated with whether a woman conceived through assisted reproduction (Boivin, Griffiths and Venetis, 2011); later work has found, at most, a small effect, with one updated meta-analysis reporting only a slight association between lower pre-treatment depression and treatment success (Purewal, Chapman and van den Akker, 2017). Izana does not claim to make an embryo implant. A paper that implied otherwise would deserve the scepticism it received.</w:t>
      </w:r>
    </w:p>
    <w:p w14:paraId="79628933" w14:textId="638E1B9A" w:rsidR="008626A2" w:rsidRDefault="00000000">
      <w:pPr>
        <w:spacing w:after="170" w:line="278" w:lineRule="auto"/>
        <w:jc w:val="both"/>
      </w:pPr>
      <w:r>
        <w:t xml:space="preserve">The mechanism runs elsewhere, and it is sound. Continuous data closes the gap by making it visible, in two directions at once. To the patient, it becomes guidance calibrated to the phase she is </w:t>
      </w:r>
      <w:proofErr w:type="gramStart"/>
      <w:r>
        <w:t xml:space="preserve">actually </w:t>
      </w:r>
      <w:r w:rsidR="00372FE8">
        <w:t>in</w:t>
      </w:r>
      <w:proofErr w:type="gramEnd"/>
      <w:r>
        <w:t xml:space="preserve"> a readiness signal, a lighter day when her body is carrying strain, a reason not to search the internet at midnight. To the clinic, the same data becomes a view of the fortnight it has never been able to see, covering medication adherence, sleep, and physiological load, available before the next appointment rather than lost to it. Visibility of that kind enables support that is genuinely phase-aware and burden-aware; and reducing burden is what the discontinuation evidence in Section 3 ties directly to treatment continuation. The outcome Izana improves is not the biology of a cycle. It is the likelihood that a couple completes the cycles they have, and, through the cumulative arithmetic set out earlier, the live births that follow from finishing rather than stopping.</w:t>
      </w:r>
    </w:p>
    <w:p w14:paraId="543661C9" w14:textId="77777777" w:rsidR="008626A2" w:rsidRDefault="00000000">
      <w:pPr>
        <w:spacing w:after="170" w:line="278" w:lineRule="auto"/>
        <w:jc w:val="both"/>
      </w:pPr>
      <w:r>
        <w:t xml:space="preserve">One finding sets a firm design constraint. A pilot study of pregnant women using self-monitoring devices found that the women who engaged with the devices most reported higher </w:t>
      </w:r>
      <w:r>
        <w:lastRenderedPageBreak/>
        <w:t xml:space="preserve">stress and worse sleep, not less (Auxier et al., 2022). Data alone, handed to an anxious person, can do harm. This is the line between Izana and a consumer tracker: the data must reach the patient already interpreted, translated into calm, specific, phase-aware guidance and governed by clinicians. Raw numbers </w:t>
      </w:r>
      <w:proofErr w:type="gramStart"/>
      <w:r>
        <w:t>are not care</w:t>
      </w:r>
      <w:proofErr w:type="gramEnd"/>
      <w:r>
        <w:t xml:space="preserve">. It is also why one word is used carefully throughout this paper. The personalisation Izana offers is personalised </w:t>
      </w:r>
      <w:r>
        <w:rPr>
          <w:i/>
          <w:iCs/>
        </w:rPr>
        <w:t>support</w:t>
      </w:r>
      <w:r>
        <w:t>, shaped to a patient’s physiology and phase. It is not personalised medicine. The protocol belongs to the clinic; Izana instruments the gap around it.</w:t>
      </w:r>
    </w:p>
    <w:p w14:paraId="45524A64" w14:textId="77777777" w:rsidR="008626A2" w:rsidRDefault="00000000">
      <w:pPr>
        <w:spacing w:after="170" w:line="278" w:lineRule="auto"/>
        <w:jc w:val="both"/>
      </w:pPr>
      <w:r>
        <w:t>This distinction is also what fixes Izana’s regulatory position, and the paper states it plainly. Under the European Union Medical Device Regulation, what determines whether software is a medical device is its intended purpose, not the data it reads, and software intended for lifestyle and wellbeing purposes is explicitly outside that definition (European Union, 2017; Medical Device Coordination Group, 2019). Izana’s intended purpose is wellbeing and supportive guidance. It does not diagnose, does not generate or alter a clinical management decision, and does not function as a medical device. It interprets physiological signal into supportive, phase-aware guidance for the patient, and surfaces the same signal to the care team to act on as they see fit. Clinical interpretation and every clinical decision remain solely with the treating clinician. That boundary is not a disclaimer added at the end; it is the design, and Section 8 makes it the first principle.</w:t>
      </w:r>
    </w:p>
    <w:p w14:paraId="00FCA72A" w14:textId="77777777" w:rsidR="008626A2" w:rsidRDefault="00000000">
      <w:pPr>
        <w:pStyle w:val="Heading1"/>
      </w:pPr>
      <w:r>
        <w:rPr>
          <w:color w:val="5D51C4"/>
        </w:rPr>
        <w:t>8</w:t>
      </w:r>
      <w:r>
        <w:t xml:space="preserve">    A Framework for Closing the Gap</w:t>
      </w:r>
    </w:p>
    <w:p w14:paraId="77A598A6" w14:textId="77777777" w:rsidR="008626A2" w:rsidRDefault="00000000">
      <w:pPr>
        <w:spacing w:after="170" w:line="278" w:lineRule="auto"/>
        <w:jc w:val="both"/>
      </w:pPr>
      <w:r>
        <w:t>The preceding sections have established a problem and an opportunity. The problem is that the inter-cycle gap concentrates a modifiable burden, drives avoidable discontinuation, and does so out of the clinic’s sight, for both the patient and her partner. The opportunity is that the gap can now be instrumented, and that the burden inside it can be supported without altering the medical protocol. What remains is to be precise about what an adequate solution must look like. Four principles follow. They are best understood not as desirable features but as constraints: a companion that fails any one of them reproduces the very failure it was built to correct.</w:t>
      </w:r>
    </w:p>
    <w:p w14:paraId="26DE0075" w14:textId="77777777" w:rsidR="008626A2" w:rsidRDefault="00000000">
      <w:pPr>
        <w:spacing w:after="170" w:line="278" w:lineRule="auto"/>
        <w:jc w:val="both"/>
      </w:pPr>
      <w:r>
        <w:t>The first principle is that the companion must be clinically governed. It sits under the authority of the treating clinic, not alongside it. It does not set or alter protocol, it does not diagnose, and it does not position itself between the patient and her clinician. Its guidance operates within boundaries the clinic defines, and what it observes is returned to the care team rather than kept in a separate consumer silo. This is the line, drawn in Section 7, between a medical companion and a wellness app, and it is what keeps the model on the correct side of medical-device regulation. It is also the precondition for a clinic to adopt the model at all.</w:t>
      </w:r>
    </w:p>
    <w:p w14:paraId="2DC459F4" w14:textId="77777777" w:rsidR="008626A2" w:rsidRDefault="00000000">
      <w:pPr>
        <w:spacing w:after="170" w:line="278" w:lineRule="auto"/>
        <w:jc w:val="both"/>
      </w:pPr>
      <w:r>
        <w:t>The second principle is that the companion must be cycle-phase aware. The failure of the consumer tools surveyed in Section 6 is not only that they are inaccurate; it is that they are generic. They do not know, and are not built to know, where in a treatment cycle a particular patient stands. An adequate companion must. Stimulation, the retrieval, the post-transfer wait, and the between-cycle interval are different experiences with different burdens, and support that is not calibrated to the specific phase is not support but undirected content. Knowing the phase is what allows guidance to be timely, relevant, and quiet rather than constant.</w:t>
      </w:r>
    </w:p>
    <w:p w14:paraId="60BBAA20" w14:textId="77777777" w:rsidR="008626A2" w:rsidRDefault="00000000">
      <w:pPr>
        <w:spacing w:after="170" w:line="278" w:lineRule="auto"/>
        <w:jc w:val="both"/>
      </w:pPr>
      <w:r>
        <w:t xml:space="preserve">The third principle is that the companion must be dyadic. Section 5 established that burden sits in the couple and that the discontinuation decision is reached together. A companion that </w:t>
      </w:r>
      <w:r>
        <w:lastRenderedPageBreak/>
        <w:t>addresses only the patient therefore leaves a substantial part of its target untouched. The partner must be treated as a participant with his own information, his own understanding of the cycle, and his own channel for the fear he otherwise carries in silence. A model that serves one person serves half the couple.</w:t>
      </w:r>
    </w:p>
    <w:p w14:paraId="1A7A6837" w14:textId="35B9046C" w:rsidR="008626A2" w:rsidRDefault="00000000">
      <w:pPr>
        <w:spacing w:after="170" w:line="278" w:lineRule="auto"/>
        <w:jc w:val="both"/>
      </w:pPr>
      <w:r>
        <w:t xml:space="preserve">The fourth principle is that the companion must be </w:t>
      </w:r>
      <w:r w:rsidR="00372FE8">
        <w:t>closed loop</w:t>
      </w:r>
      <w:r>
        <w:t xml:space="preserve">. Instrumentation, on its own, </w:t>
      </w:r>
      <w:r w:rsidR="00372FE8">
        <w:t>does not care</w:t>
      </w:r>
      <w:r>
        <w:t xml:space="preserve">; Section 7’s caution about raw data handed to an anxious patient makes that plain. Data must be captured continuously, interpreted, translated into guidance calibrated to the patient and her phase, and surfaced to the clinic in a form it can act on, and the clinic’s response must in turn shape what the companion does next. A loop that is open at either end fails: data captured but never returned to the clinic is merely surveillance, and guidance issued with no clinical sight is merely an app. The loop </w:t>
      </w:r>
      <w:r w:rsidR="00372FE8">
        <w:t>must</w:t>
      </w:r>
      <w:r>
        <w:t xml:space="preserve"> close in both directions.</w:t>
      </w:r>
    </w:p>
    <w:p w14:paraId="64FCD09B" w14:textId="05D0F796" w:rsidR="008626A2" w:rsidRDefault="00000000">
      <w:pPr>
        <w:spacing w:after="170" w:line="278" w:lineRule="auto"/>
        <w:jc w:val="both"/>
      </w:pPr>
      <w:r>
        <w:t xml:space="preserve">Taken together, these four principles describe a precise and necessary target. A companion that is not clinically governed is a consumer product. One that is not phase-aware is generic content. One that is not dyadic serves half of those who need it. One that is not </w:t>
      </w:r>
      <w:r w:rsidR="00372FE8">
        <w:t>closed loop</w:t>
      </w:r>
      <w:r>
        <w:t xml:space="preserve"> is tracking without care. The next section describes how Izana is built to meet all four, and, more importantly, proposes a concrete and low-risk way for a clinic to test whether it does.</w:t>
      </w:r>
    </w:p>
    <w:p w14:paraId="51DBC737" w14:textId="77777777" w:rsidR="008626A2" w:rsidRDefault="00000000">
      <w:pPr>
        <w:pStyle w:val="Heading1"/>
      </w:pPr>
      <w:r>
        <w:rPr>
          <w:color w:val="5D51C4"/>
        </w:rPr>
        <w:t>9</w:t>
      </w:r>
      <w:r>
        <w:t xml:space="preserve">    What This Means for Clinics</w:t>
      </w:r>
    </w:p>
    <w:p w14:paraId="77765AF3" w14:textId="5CCD6A63" w:rsidR="008626A2" w:rsidRDefault="00000000">
      <w:pPr>
        <w:spacing w:after="170" w:line="278" w:lineRule="auto"/>
        <w:jc w:val="both"/>
      </w:pPr>
      <w:r>
        <w:t xml:space="preserve">This paper has made an argument. An argument, </w:t>
      </w:r>
      <w:r w:rsidR="00372FE8">
        <w:t>however,</w:t>
      </w:r>
      <w:r>
        <w:t xml:space="preserve"> carefully assembled, is not evidence, and the appropriate response to a claim of this kind is not to adopt it but to test it. What follows is therefore not a request for belief but a proposal for a measurement: a pilot designed to be small, controlled, and </w:t>
      </w:r>
      <w:r w:rsidR="00372FE8">
        <w:t>low risk</w:t>
      </w:r>
      <w:r>
        <w:t xml:space="preserve"> enough that a clinic can run it without exposure, and structured so that its result, whether positive or negative, is informative.</w:t>
      </w:r>
    </w:p>
    <w:p w14:paraId="128C118B" w14:textId="77777777" w:rsidR="008626A2" w:rsidRDefault="00000000">
      <w:pPr>
        <w:spacing w:after="170" w:line="278" w:lineRule="auto"/>
        <w:jc w:val="both"/>
      </w:pPr>
      <w:r>
        <w:t>The shape of the pilot is deliberately modest. A single cohort of roughly twenty to thirty couples, beginning treatment at one partner clinic, uses the Izana companion alongside entirely standard care across a defined window of about ninety days, long enough to span a stimulation cycle and the interval that follows it. The companion changes nothing about the medical protocol: the stimulation, the monitoring, the laboratory work, and the clinical decisions remain exactly as they would otherwise be. It runs in parallel, in the inter-cycle gap, and is provided at no cost to the clinic.</w:t>
      </w:r>
    </w:p>
    <w:p w14:paraId="2289BF50" w14:textId="77777777" w:rsidR="008626A2" w:rsidRDefault="00000000">
      <w:pPr>
        <w:spacing w:after="170" w:line="278" w:lineRule="auto"/>
        <w:jc w:val="both"/>
      </w:pPr>
      <w:r>
        <w:t>The design below sets out what the pilot measures, against what, and with what limits. It is written to be read and amended by the clinic’s own team; the endpoints and criteria are a starting point, not a fixed protocol.</w:t>
      </w:r>
    </w:p>
    <w:p w14:paraId="197D3449" w14:textId="77777777" w:rsidR="008626A2" w:rsidRDefault="00000000">
      <w:pPr>
        <w:spacing w:after="170" w:line="278" w:lineRule="auto"/>
        <w:jc w:val="both"/>
      </w:pPr>
      <w:r>
        <w:rPr>
          <w:b/>
          <w:bCs/>
        </w:rPr>
        <w:t xml:space="preserve">Primary endpoint.  </w:t>
      </w:r>
      <w:r>
        <w:t>Continuation to the next clinically indicated cycle, measured as the proportion of couples in the cohort who proceed to that cycle within a defined window, for example six months of an unsuccessful attempt, compared against the clinic’s own historical baseline for a matched period.</w:t>
      </w:r>
    </w:p>
    <w:p w14:paraId="734B8E49" w14:textId="77777777" w:rsidR="008626A2" w:rsidRDefault="00000000">
      <w:pPr>
        <w:spacing w:after="170" w:line="278" w:lineRule="auto"/>
        <w:jc w:val="both"/>
      </w:pPr>
      <w:r>
        <w:rPr>
          <w:b/>
          <w:bCs/>
        </w:rPr>
        <w:t xml:space="preserve">Secondary endpoints.  </w:t>
      </w:r>
      <w:r>
        <w:t xml:space="preserve">Three, each tied to a claim made above. First, patient-reported burden and treatment-related quality of life, measured on a validated instrument; </w:t>
      </w:r>
      <w:proofErr w:type="spellStart"/>
      <w:r>
        <w:t>FertiQoL</w:t>
      </w:r>
      <w:proofErr w:type="spellEnd"/>
      <w:r>
        <w:t>, the standard tool in fertility care, allows comparison against published norms. Second, partner engagement: the proportion of partners who activate their own access and the frequency with which they use it, as a direct test of the dyadic principle. Third, feasibility of instrumentation: the rate at which wearable data is captured, how consistently patients wear the device, and how often the guidance is opened and used.</w:t>
      </w:r>
    </w:p>
    <w:p w14:paraId="349E8872" w14:textId="77777777" w:rsidR="008626A2" w:rsidRDefault="00000000">
      <w:pPr>
        <w:spacing w:after="170" w:line="278" w:lineRule="auto"/>
        <w:jc w:val="both"/>
      </w:pPr>
      <w:r>
        <w:rPr>
          <w:b/>
          <w:bCs/>
        </w:rPr>
        <w:lastRenderedPageBreak/>
        <w:t xml:space="preserve">Inclusion criteria.  </w:t>
      </w:r>
      <w:r>
        <w:t>Couples beginning an IVF or IVF/ICSI cycle at the partner clinic; both partners able and willing to consent; the patient owns, or is willing to wear, a compatible consumer wearable.</w:t>
      </w:r>
    </w:p>
    <w:p w14:paraId="40E555E8" w14:textId="77777777" w:rsidR="008626A2" w:rsidRDefault="00000000">
      <w:pPr>
        <w:spacing w:after="170" w:line="278" w:lineRule="auto"/>
        <w:jc w:val="both"/>
      </w:pPr>
      <w:r>
        <w:rPr>
          <w:b/>
          <w:bCs/>
        </w:rPr>
        <w:t xml:space="preserve">Exclusion criteria.  </w:t>
      </w:r>
      <w:r>
        <w:t>A cycle the clinician already considers the final clinically indicated attempt, since there is no subsequent cycle against which to measure continuation; a psychiatric condition requiring dedicated clinical care beyond supportive guidance; and any further criteria the clinic’s medical team specifies.</w:t>
      </w:r>
    </w:p>
    <w:p w14:paraId="391D6C9D" w14:textId="77777777" w:rsidR="008626A2" w:rsidRDefault="00000000">
      <w:pPr>
        <w:spacing w:after="170" w:line="278" w:lineRule="auto"/>
        <w:jc w:val="both"/>
      </w:pPr>
      <w:r>
        <w:rPr>
          <w:b/>
          <w:bCs/>
        </w:rPr>
        <w:t xml:space="preserve">Comparator.  </w:t>
      </w:r>
      <w:r>
        <w:t>The clinic’s own historical baseline, not an external benchmark. As Section 3 noted, discontinuation rates vary so widely between settings that only a clinic’s own prior numbers form a fair point of comparison.</w:t>
      </w:r>
    </w:p>
    <w:p w14:paraId="38DC99E1" w14:textId="01A3B0D0" w:rsidR="008626A2" w:rsidRDefault="00000000">
      <w:pPr>
        <w:spacing w:after="170" w:line="278" w:lineRule="auto"/>
        <w:jc w:val="both"/>
      </w:pPr>
      <w:r>
        <w:rPr>
          <w:b/>
          <w:bCs/>
        </w:rPr>
        <w:t xml:space="preserve">Statistical approach.  </w:t>
      </w:r>
      <w:r>
        <w:t xml:space="preserve">Pre-specified as descriptive and exploratory. At a cohort of twenty to thirty, the pilot is not powered to demonstrate a change in per-cycle clinical </w:t>
      </w:r>
      <w:r w:rsidR="00372FE8">
        <w:t>success and</w:t>
      </w:r>
      <w:r>
        <w:t xml:space="preserve"> is not intended to; comparisons against baseline are indicative rather than confirmatory. This is stated plainly because confining the pilot to what it can </w:t>
      </w:r>
      <w:r w:rsidR="00372FE8">
        <w:t>show</w:t>
      </w:r>
      <w:r>
        <w:t xml:space="preserve"> is what makes its result trustworthy. As Sections 6 and 7 argued, improving the biology of a cycle is not the mechanism on offer; the pilot tests continuation, burden, and feasibility.</w:t>
      </w:r>
    </w:p>
    <w:p w14:paraId="02081439" w14:textId="77777777" w:rsidR="008626A2" w:rsidRDefault="00000000">
      <w:pPr>
        <w:spacing w:after="170" w:line="278" w:lineRule="auto"/>
        <w:jc w:val="both"/>
      </w:pPr>
      <w:r>
        <w:rPr>
          <w:b/>
          <w:bCs/>
        </w:rPr>
        <w:t xml:space="preserve">Data governance.  </w:t>
      </w:r>
      <w:r>
        <w:t>All patient data is pseudonymised, identified only by a study pseudonym rather than by name. The clinic retains the clinical relationship and the medical record throughout; Izana surfaces interpreted signal to the care team and does not act as a system of record. Data handling is aligned with the General Data Protection Regulation and the EU AI Act, and no integration with the clinic’s electronic record is required for the pilot. What flows to the care team, what is retained, and for how long, are agreed with the clinic in writing before the pilot begins.</w:t>
      </w:r>
    </w:p>
    <w:p w14:paraId="0AFC8D20" w14:textId="6ED2ACB6" w:rsidR="008626A2" w:rsidRDefault="00000000">
      <w:pPr>
        <w:spacing w:after="170" w:line="278" w:lineRule="auto"/>
        <w:jc w:val="both"/>
      </w:pPr>
      <w:r>
        <w:t xml:space="preserve">It is worth restating what the pilot does not claim, because the discipline is the point. It is not designed to demonstrate a change in per-cycle clinical </w:t>
      </w:r>
      <w:r w:rsidR="00372FE8">
        <w:t>success and</w:t>
      </w:r>
      <w:r>
        <w:t xml:space="preserve"> should not be read as attempting to. For the clinic, the structure is intended to make the decision easy: no change to the medical pathway, no cost, and no disruption to the laboratory or clinical workflow. The companion is additive and sits where the clinic currently has no presence at all. The downside is therefore bounded and small. The potential upside, a measurable effect on retention and a first clear view into the inter-cycle gap, is precisely what the pilot exists to determine. A clinic is not asked to accept the argument of this paper. It is asked only to let it be measured.</w:t>
      </w:r>
    </w:p>
    <w:p w14:paraId="15BEC3DF" w14:textId="77777777" w:rsidR="008626A2" w:rsidRDefault="00000000">
      <w:pPr>
        <w:pStyle w:val="Heading1"/>
      </w:pPr>
      <w:r>
        <w:rPr>
          <w:color w:val="5D51C4"/>
        </w:rPr>
        <w:t>10</w:t>
      </w:r>
      <w:r>
        <w:t xml:space="preserve">    Conclusion</w:t>
      </w:r>
    </w:p>
    <w:p w14:paraId="526CF1CE" w14:textId="77777777" w:rsidR="008626A2" w:rsidRDefault="00000000">
      <w:pPr>
        <w:spacing w:after="170" w:line="278" w:lineRule="auto"/>
        <w:jc w:val="both"/>
      </w:pPr>
      <w:r>
        <w:t>For two decades, the improvement of IVF has been an improvement of the clinic. Protocols, laboratory technique, and embryo selection have all advanced, and they continue to. But the gains still available on that side of the clinic door are increasingly incremental, while a large and largely untouched opportunity sits on the other side of it. The inter-cycle gap is not a vague concern about patient wellbeing. It is a defined clinical object: the place where a modifiable burden accumulates, where the decision to discontinue is made, and where neither the patient nor her partner is currently seen. Closing it is a retention lever, and through the cumulative arithmetic of live births, a lever on the real-world results of IVF, reached without altering a single element of the medicine.</w:t>
      </w:r>
    </w:p>
    <w:p w14:paraId="38855872" w14:textId="4F5085E7" w:rsidR="008626A2" w:rsidRDefault="00000000">
      <w:pPr>
        <w:spacing w:after="170" w:line="278" w:lineRule="auto"/>
        <w:jc w:val="both"/>
      </w:pPr>
      <w:r>
        <w:t xml:space="preserve">The argument of this paper has been deliberately disciplined about its own limits. It does not claim that supporting couples makes embryos implant; the evidence is clear that it does not, </w:t>
      </w:r>
      <w:r>
        <w:lastRenderedPageBreak/>
        <w:t xml:space="preserve">and a claim of that kind would deserve to be dismissed. It claims something narrower and more durable: that a </w:t>
      </w:r>
      <w:r w:rsidR="00372FE8">
        <w:t>clinically governed</w:t>
      </w:r>
      <w:r>
        <w:t xml:space="preserve"> companion, instrumenting the gap and supporting the couple through it, can reduce the avoidable discontinuation that quietly subtracts from what IVF achieves. That is a smaller claim than the fertility-technology field is used to hearing. It is also one that can be tested.</w:t>
      </w:r>
    </w:p>
    <w:p w14:paraId="6E9EDF29" w14:textId="4E932B47" w:rsidR="008626A2" w:rsidRDefault="00000000">
      <w:pPr>
        <w:spacing w:after="170" w:line="278" w:lineRule="auto"/>
        <w:jc w:val="both"/>
      </w:pPr>
      <w:r>
        <w:t xml:space="preserve">Izana is built to be that companion. It is a </w:t>
      </w:r>
      <w:r w:rsidR="00372FE8">
        <w:t>clinically governed</w:t>
      </w:r>
      <w:r>
        <w:t xml:space="preserve">, cycle-phase-aware, dyadic, closed-loop layer of care, distributed through clinics rather than around them, and designed from the outset to be measured against the four principles set out in Section 8. It does not compete with the clinic, </w:t>
      </w:r>
      <w:r w:rsidR="00372FE8">
        <w:t>white label</w:t>
      </w:r>
      <w:r>
        <w:t xml:space="preserve"> the clinic, or stand between a patient and her clinician. It extends the clinic’s reach into the fortnight, and to the couple, that it cannot currently see.</w:t>
      </w:r>
    </w:p>
    <w:p w14:paraId="5FE40840" w14:textId="77777777" w:rsidR="008626A2" w:rsidRDefault="00000000">
      <w:pPr>
        <w:spacing w:after="170" w:line="278" w:lineRule="auto"/>
        <w:jc w:val="both"/>
      </w:pPr>
      <w:r>
        <w:t>This paper has not asked any clinic to accept its argument on trust. It has set out the evidence, been candid about what that evidence does and does not support, and proposed a small, controlled, no-cost pilot through which any partner clinic can find out, against its own baseline, whether the argument holds. That is the invitation: not belief, but measurement.</w:t>
      </w:r>
    </w:p>
    <w:p w14:paraId="4A1D6FB8" w14:textId="77777777" w:rsidR="008626A2" w:rsidRDefault="00000000">
      <w:pPr>
        <w:pStyle w:val="Heading1"/>
      </w:pPr>
      <w:r>
        <w:t xml:space="preserve">    About Izana</w:t>
      </w:r>
    </w:p>
    <w:p w14:paraId="6653B1F8" w14:textId="5EBD8B0B" w:rsidR="008626A2" w:rsidRDefault="00000000">
      <w:pPr>
        <w:spacing w:after="170" w:line="278" w:lineRule="auto"/>
        <w:jc w:val="both"/>
      </w:pPr>
      <w:r>
        <w:t xml:space="preserve">Izana is a </w:t>
      </w:r>
      <w:r w:rsidR="00372FE8">
        <w:t>clinically governed</w:t>
      </w:r>
      <w:r>
        <w:t xml:space="preserve"> companion for couples undergoing fertility treatment, founded in 2025. It is built to support the at-home experience of an IVF cycle, the inter-cycle gap described in this paper, without altering any element of the medical protocol. Izana is distributed through clinics rather than around them: it works in partnership with fertility centres, under clinical supervision, and returns what it observes to the care team. It does not white-label the clinic, compete with it, or position itself between a patient and her clinician. The platform is anonymous by design, identifying patients only by pseudonym, and is built to align with the General Data Protection Regulation and the EU AI Act. [Optional: add a sentence here naming current clinical collaborations and target markets.]</w:t>
      </w:r>
    </w:p>
    <w:p w14:paraId="33DF65EA" w14:textId="77777777" w:rsidR="008626A2" w:rsidRDefault="00000000">
      <w:pPr>
        <w:pStyle w:val="Heading1"/>
      </w:pPr>
      <w:r>
        <w:t xml:space="preserve">    Authors</w:t>
      </w:r>
    </w:p>
    <w:p w14:paraId="1C558E4A" w14:textId="77777777" w:rsidR="008626A2" w:rsidRDefault="00000000">
      <w:pPr>
        <w:spacing w:after="170" w:line="278" w:lineRule="auto"/>
        <w:jc w:val="both"/>
      </w:pPr>
      <w:r w:rsidRPr="00372FE8">
        <w:rPr>
          <w:i/>
          <w:iCs/>
          <w:color w:val="5A554C"/>
          <w:highlight w:val="yellow"/>
        </w:rPr>
        <w:t>[Placeholder, to be completed before circulation: names, credentials, and affiliations of the three medical directors co-authoring this paper, followed by an Izana corresponding-author contact.]</w:t>
      </w:r>
    </w:p>
    <w:p w14:paraId="19405CEA" w14:textId="77777777" w:rsidR="008626A2" w:rsidRDefault="00000000">
      <w:pPr>
        <w:pStyle w:val="Heading1"/>
      </w:pPr>
      <w:r>
        <w:t xml:space="preserve">    References</w:t>
      </w:r>
    </w:p>
    <w:p w14:paraId="5539410B" w14:textId="77777777" w:rsidR="008626A2" w:rsidRDefault="00000000">
      <w:pPr>
        <w:spacing w:after="180" w:line="266" w:lineRule="auto"/>
        <w:jc w:val="both"/>
      </w:pPr>
      <w:r>
        <w:rPr>
          <w:i/>
          <w:iCs/>
          <w:color w:val="5A554C"/>
          <w:sz w:val="19"/>
          <w:szCs w:val="19"/>
        </w:rPr>
        <w:t>Citations follow the Harvard referencing system. Author initials, page ranges, and the publication dates of online sources should be confirmed against source by the clinical review team.</w:t>
      </w:r>
    </w:p>
    <w:p w14:paraId="10811A24" w14:textId="77777777" w:rsidR="008626A2" w:rsidRDefault="00000000">
      <w:pPr>
        <w:spacing w:after="120" w:line="266" w:lineRule="auto"/>
        <w:ind w:left="360" w:hanging="360"/>
      </w:pPr>
      <w:r>
        <w:rPr>
          <w:sz w:val="19"/>
          <w:szCs w:val="19"/>
        </w:rPr>
        <w:t xml:space="preserve">AlSaad et al. (2025) ‘Deep learning applications for human embryo assessment using time-lapse imaging: scoping review’, </w:t>
      </w:r>
      <w:r>
        <w:rPr>
          <w:i/>
          <w:iCs/>
          <w:sz w:val="19"/>
          <w:szCs w:val="19"/>
        </w:rPr>
        <w:t>Frontiers in Reproductive Health</w:t>
      </w:r>
      <w:r>
        <w:rPr>
          <w:sz w:val="19"/>
          <w:szCs w:val="19"/>
        </w:rPr>
        <w:t>, 7, 1549642. doi:10.3389/frph.2025.1549642.</w:t>
      </w:r>
    </w:p>
    <w:p w14:paraId="43D49412" w14:textId="77777777" w:rsidR="008626A2" w:rsidRDefault="00000000">
      <w:pPr>
        <w:spacing w:after="120" w:line="266" w:lineRule="auto"/>
        <w:ind w:left="360" w:hanging="360"/>
      </w:pPr>
      <w:r>
        <w:rPr>
          <w:sz w:val="19"/>
          <w:szCs w:val="19"/>
        </w:rPr>
        <w:t xml:space="preserve">American Society for Reproductive Medicine (no date) </w:t>
      </w:r>
      <w:r>
        <w:rPr>
          <w:i/>
          <w:iCs/>
          <w:sz w:val="19"/>
          <w:szCs w:val="19"/>
        </w:rPr>
        <w:t>Wearable Health Monitors and Fertility: Where Are We Now?</w:t>
      </w:r>
      <w:r>
        <w:rPr>
          <w:sz w:val="19"/>
          <w:szCs w:val="19"/>
        </w:rPr>
        <w:t xml:space="preserve"> Available at: https://www.asrm.org/news-and-events/asrm-news/tech-talk-blogs/tech-blog-wearable-health-monitors-and-fertility/ (Accessed: 26 May 2026).</w:t>
      </w:r>
    </w:p>
    <w:p w14:paraId="4D414AD5" w14:textId="77777777" w:rsidR="008626A2" w:rsidRDefault="00000000">
      <w:pPr>
        <w:spacing w:after="120" w:line="266" w:lineRule="auto"/>
        <w:ind w:left="360" w:hanging="360"/>
      </w:pPr>
      <w:r>
        <w:rPr>
          <w:sz w:val="19"/>
          <w:szCs w:val="19"/>
        </w:rPr>
        <w:t xml:space="preserve">Auxier, J., Asgari Mehrabadi, M., Rahmani, A.M. and </w:t>
      </w:r>
      <w:proofErr w:type="spellStart"/>
      <w:r>
        <w:rPr>
          <w:sz w:val="19"/>
          <w:szCs w:val="19"/>
        </w:rPr>
        <w:t>Axelin</w:t>
      </w:r>
      <w:proofErr w:type="spellEnd"/>
      <w:r>
        <w:rPr>
          <w:sz w:val="19"/>
          <w:szCs w:val="19"/>
        </w:rPr>
        <w:t xml:space="preserve">, A. (2022) ‘A descriptive comparative pilot study: association between use of a self-monitoring device and sleep and stress outcomes in pregnancy’, </w:t>
      </w:r>
      <w:r>
        <w:rPr>
          <w:i/>
          <w:iCs/>
          <w:sz w:val="19"/>
          <w:szCs w:val="19"/>
        </w:rPr>
        <w:t>Computers, Informatics, Nursing</w:t>
      </w:r>
      <w:r>
        <w:rPr>
          <w:sz w:val="19"/>
          <w:szCs w:val="19"/>
        </w:rPr>
        <w:t>. doi:10.1097/CIN.0000000000000958.</w:t>
      </w:r>
    </w:p>
    <w:p w14:paraId="5CE0B47B" w14:textId="77777777" w:rsidR="008626A2" w:rsidRDefault="00000000">
      <w:pPr>
        <w:spacing w:after="120" w:line="266" w:lineRule="auto"/>
        <w:ind w:left="360" w:hanging="360"/>
      </w:pPr>
      <w:r>
        <w:rPr>
          <w:sz w:val="19"/>
          <w:szCs w:val="19"/>
        </w:rPr>
        <w:t xml:space="preserve">Boivin, J., Griffiths, E. and Venetis, C.A. (2011) ‘Emotional distress in infertile women and failure of assisted reproductive technologies: meta-analysis of prospective psychosocial studies’, </w:t>
      </w:r>
      <w:r>
        <w:rPr>
          <w:i/>
          <w:iCs/>
          <w:sz w:val="19"/>
          <w:szCs w:val="19"/>
        </w:rPr>
        <w:t>BMJ</w:t>
      </w:r>
      <w:r>
        <w:rPr>
          <w:sz w:val="19"/>
          <w:szCs w:val="19"/>
        </w:rPr>
        <w:t>, 342, d223. doi:10.1136/</w:t>
      </w:r>
      <w:proofErr w:type="gramStart"/>
      <w:r>
        <w:rPr>
          <w:sz w:val="19"/>
          <w:szCs w:val="19"/>
        </w:rPr>
        <w:t>bmj.d</w:t>
      </w:r>
      <w:proofErr w:type="gramEnd"/>
      <w:r>
        <w:rPr>
          <w:sz w:val="19"/>
          <w:szCs w:val="19"/>
        </w:rPr>
        <w:t>223.</w:t>
      </w:r>
    </w:p>
    <w:p w14:paraId="3378AA20" w14:textId="77777777" w:rsidR="008626A2" w:rsidRDefault="00000000">
      <w:pPr>
        <w:spacing w:after="120" w:line="266" w:lineRule="auto"/>
        <w:ind w:left="360" w:hanging="360"/>
      </w:pPr>
      <w:r>
        <w:rPr>
          <w:sz w:val="19"/>
          <w:szCs w:val="19"/>
        </w:rPr>
        <w:lastRenderedPageBreak/>
        <w:t xml:space="preserve">ClinicalTrials.gov (no date a) </w:t>
      </w:r>
      <w:r>
        <w:rPr>
          <w:i/>
          <w:iCs/>
          <w:sz w:val="19"/>
          <w:szCs w:val="19"/>
        </w:rPr>
        <w:t>Physical Activity and Fertility Care Study</w:t>
      </w:r>
      <w:r>
        <w:rPr>
          <w:sz w:val="19"/>
          <w:szCs w:val="19"/>
        </w:rPr>
        <w:t>. Identifier NCT04002414. Available at: https://clinicaltrials.gov/study/NCT04002414 (Accessed: 26 May 2026).</w:t>
      </w:r>
    </w:p>
    <w:p w14:paraId="3723667E" w14:textId="77777777" w:rsidR="008626A2" w:rsidRDefault="00000000">
      <w:pPr>
        <w:spacing w:after="120" w:line="266" w:lineRule="auto"/>
        <w:ind w:left="360" w:hanging="360"/>
      </w:pPr>
      <w:r>
        <w:rPr>
          <w:sz w:val="19"/>
          <w:szCs w:val="19"/>
        </w:rPr>
        <w:t xml:space="preserve">ClinicalTrials.gov (no date b) </w:t>
      </w:r>
      <w:r>
        <w:rPr>
          <w:i/>
          <w:iCs/>
          <w:sz w:val="19"/>
          <w:szCs w:val="19"/>
        </w:rPr>
        <w:t>A Prospective Observational Study of Biomarkers for a Personalised IVF Treatment</w:t>
      </w:r>
      <w:r>
        <w:rPr>
          <w:sz w:val="19"/>
          <w:szCs w:val="19"/>
        </w:rPr>
        <w:t>. Identifier NCT05780632. Available at: https://clinicaltrials.gov/study/NCT05780632 (Accessed: 26 May 2026).</w:t>
      </w:r>
    </w:p>
    <w:p w14:paraId="641FB395" w14:textId="77777777" w:rsidR="008626A2" w:rsidRDefault="00000000">
      <w:pPr>
        <w:spacing w:after="120" w:line="266" w:lineRule="auto"/>
        <w:ind w:left="360" w:hanging="360"/>
      </w:pPr>
      <w:r>
        <w:rPr>
          <w:sz w:val="19"/>
          <w:szCs w:val="19"/>
        </w:rPr>
        <w:t xml:space="preserve">Cohen, J. et al. (2025) ‘Artificial intelligence in assisted reproductive technology: separating the dream from reality’, </w:t>
      </w:r>
      <w:r>
        <w:rPr>
          <w:i/>
          <w:iCs/>
          <w:sz w:val="19"/>
          <w:szCs w:val="19"/>
        </w:rPr>
        <w:t xml:space="preserve">Reproductive </w:t>
      </w:r>
      <w:proofErr w:type="spellStart"/>
      <w:r>
        <w:rPr>
          <w:i/>
          <w:iCs/>
          <w:sz w:val="19"/>
          <w:szCs w:val="19"/>
        </w:rPr>
        <w:t>BioMedicine</w:t>
      </w:r>
      <w:proofErr w:type="spellEnd"/>
      <w:r>
        <w:rPr>
          <w:i/>
          <w:iCs/>
          <w:sz w:val="19"/>
          <w:szCs w:val="19"/>
        </w:rPr>
        <w:t xml:space="preserve"> Online</w:t>
      </w:r>
      <w:r>
        <w:rPr>
          <w:sz w:val="19"/>
          <w:szCs w:val="19"/>
        </w:rPr>
        <w:t>, 50, 104855.</w:t>
      </w:r>
    </w:p>
    <w:p w14:paraId="2F3943BB" w14:textId="77777777" w:rsidR="008626A2" w:rsidRDefault="00000000">
      <w:pPr>
        <w:spacing w:after="120" w:line="266" w:lineRule="auto"/>
        <w:ind w:left="360" w:hanging="360"/>
      </w:pPr>
      <w:r>
        <w:rPr>
          <w:sz w:val="19"/>
          <w:szCs w:val="19"/>
        </w:rPr>
        <w:t xml:space="preserve">Domar, A.D., Smith, K., Conboy, L., Iannone, M. and Alper, M. (2010) ‘A prospective investigation into the reasons why insured United States patients drop out of in vitro fertilization treatment’, </w:t>
      </w:r>
      <w:r>
        <w:rPr>
          <w:i/>
          <w:iCs/>
          <w:sz w:val="19"/>
          <w:szCs w:val="19"/>
        </w:rPr>
        <w:t>Fertility and Sterility</w:t>
      </w:r>
      <w:r>
        <w:rPr>
          <w:sz w:val="19"/>
          <w:szCs w:val="19"/>
        </w:rPr>
        <w:t>, 94(4), pp. 1457–1459.</w:t>
      </w:r>
    </w:p>
    <w:p w14:paraId="42E8264A" w14:textId="77777777" w:rsidR="008626A2" w:rsidRDefault="00000000">
      <w:pPr>
        <w:spacing w:after="120" w:line="266" w:lineRule="auto"/>
        <w:ind w:left="360" w:hanging="360"/>
      </w:pPr>
      <w:r>
        <w:rPr>
          <w:sz w:val="19"/>
          <w:szCs w:val="19"/>
        </w:rPr>
        <w:t xml:space="preserve">European Union (2017) Regulation (EU) 2017/745 of the European Parliament and of the Council of 5 April 2017 on medical devices (Medical Device Regulation). </w:t>
      </w:r>
      <w:r>
        <w:rPr>
          <w:i/>
          <w:iCs/>
          <w:sz w:val="19"/>
          <w:szCs w:val="19"/>
        </w:rPr>
        <w:t>Official Journal of the European Union</w:t>
      </w:r>
      <w:r>
        <w:rPr>
          <w:sz w:val="19"/>
          <w:szCs w:val="19"/>
        </w:rPr>
        <w:t>, L117. Available at: https://eur-lex.europa.eu/eli/reg/2017/745/oj (Accessed: 1 June 2026).</w:t>
      </w:r>
    </w:p>
    <w:p w14:paraId="5F11B80D" w14:textId="77777777" w:rsidR="008626A2" w:rsidRDefault="00000000">
      <w:pPr>
        <w:spacing w:after="120" w:line="266" w:lineRule="auto"/>
        <w:ind w:left="360" w:hanging="360"/>
      </w:pPr>
      <w:r>
        <w:rPr>
          <w:sz w:val="19"/>
          <w:szCs w:val="19"/>
        </w:rPr>
        <w:t xml:space="preserve">Gameiro, S., Boivin, J., </w:t>
      </w:r>
      <w:proofErr w:type="spellStart"/>
      <w:r>
        <w:rPr>
          <w:sz w:val="19"/>
          <w:szCs w:val="19"/>
        </w:rPr>
        <w:t>Peronace</w:t>
      </w:r>
      <w:proofErr w:type="spellEnd"/>
      <w:r>
        <w:rPr>
          <w:sz w:val="19"/>
          <w:szCs w:val="19"/>
        </w:rPr>
        <w:t xml:space="preserve">, L. and </w:t>
      </w:r>
      <w:proofErr w:type="spellStart"/>
      <w:r>
        <w:rPr>
          <w:sz w:val="19"/>
          <w:szCs w:val="19"/>
        </w:rPr>
        <w:t>Verhaak</w:t>
      </w:r>
      <w:proofErr w:type="spellEnd"/>
      <w:r>
        <w:rPr>
          <w:sz w:val="19"/>
          <w:szCs w:val="19"/>
        </w:rPr>
        <w:t xml:space="preserve">, C.M. (2012) ‘Why do patients discontinue fertility treatment? A systematic review of reasons and predictors of discontinuation in fertility treatment’, </w:t>
      </w:r>
      <w:r>
        <w:rPr>
          <w:i/>
          <w:iCs/>
          <w:sz w:val="19"/>
          <w:szCs w:val="19"/>
        </w:rPr>
        <w:t>Human Reproduction Update</w:t>
      </w:r>
      <w:r>
        <w:rPr>
          <w:sz w:val="19"/>
          <w:szCs w:val="19"/>
        </w:rPr>
        <w:t>, 18(6), pp. 652–669.</w:t>
      </w:r>
    </w:p>
    <w:p w14:paraId="45CEBC64" w14:textId="77777777" w:rsidR="008626A2" w:rsidRDefault="00000000">
      <w:pPr>
        <w:spacing w:after="120" w:line="266" w:lineRule="auto"/>
        <w:ind w:left="360" w:hanging="360"/>
      </w:pPr>
      <w:proofErr w:type="spellStart"/>
      <w:r>
        <w:rPr>
          <w:sz w:val="19"/>
          <w:szCs w:val="19"/>
        </w:rPr>
        <w:t>Grammenou</w:t>
      </w:r>
      <w:proofErr w:type="spellEnd"/>
      <w:r>
        <w:rPr>
          <w:sz w:val="19"/>
          <w:szCs w:val="19"/>
        </w:rPr>
        <w:t xml:space="preserve">, M., Michou, V., Itziou, A., </w:t>
      </w:r>
      <w:proofErr w:type="spellStart"/>
      <w:r>
        <w:rPr>
          <w:sz w:val="19"/>
          <w:szCs w:val="19"/>
        </w:rPr>
        <w:t>Tsiotsias</w:t>
      </w:r>
      <w:proofErr w:type="spellEnd"/>
      <w:r>
        <w:rPr>
          <w:sz w:val="19"/>
          <w:szCs w:val="19"/>
        </w:rPr>
        <w:t xml:space="preserve">, A. and </w:t>
      </w:r>
      <w:proofErr w:type="spellStart"/>
      <w:r>
        <w:rPr>
          <w:sz w:val="19"/>
          <w:szCs w:val="19"/>
        </w:rPr>
        <w:t>Eskitzis</w:t>
      </w:r>
      <w:proofErr w:type="spellEnd"/>
      <w:r>
        <w:rPr>
          <w:sz w:val="19"/>
          <w:szCs w:val="19"/>
        </w:rPr>
        <w:t xml:space="preserve">, P. (2026) ‘The psychological impact of in vitro fertilization (IVF): a gender systematic review’, </w:t>
      </w:r>
      <w:r>
        <w:rPr>
          <w:i/>
          <w:iCs/>
          <w:sz w:val="19"/>
          <w:szCs w:val="19"/>
        </w:rPr>
        <w:t>Healthcare</w:t>
      </w:r>
      <w:r>
        <w:rPr>
          <w:sz w:val="19"/>
          <w:szCs w:val="19"/>
        </w:rPr>
        <w:t>, 14(3), 375. doi:10.3390/healthcare14030375.</w:t>
      </w:r>
    </w:p>
    <w:p w14:paraId="271E10DC" w14:textId="77777777" w:rsidR="008626A2" w:rsidRDefault="00000000">
      <w:pPr>
        <w:spacing w:after="120" w:line="266" w:lineRule="auto"/>
        <w:ind w:left="360" w:hanging="360"/>
      </w:pPr>
      <w:r>
        <w:rPr>
          <w:sz w:val="19"/>
          <w:szCs w:val="19"/>
        </w:rPr>
        <w:t xml:space="preserve">Lyzwinski, L., </w:t>
      </w:r>
      <w:proofErr w:type="spellStart"/>
      <w:r>
        <w:rPr>
          <w:sz w:val="19"/>
          <w:szCs w:val="19"/>
        </w:rPr>
        <w:t>Elgendi</w:t>
      </w:r>
      <w:proofErr w:type="spellEnd"/>
      <w:r>
        <w:rPr>
          <w:sz w:val="19"/>
          <w:szCs w:val="19"/>
        </w:rPr>
        <w:t xml:space="preserve">, M. and Menon, C. (2024) ‘Innovative approaches to menstruation and fertility tracking using wearable reproductive health technology: systematic review’, </w:t>
      </w:r>
      <w:r>
        <w:rPr>
          <w:i/>
          <w:iCs/>
          <w:sz w:val="19"/>
          <w:szCs w:val="19"/>
        </w:rPr>
        <w:t>Journal of Medical Internet Research</w:t>
      </w:r>
      <w:r>
        <w:rPr>
          <w:sz w:val="19"/>
          <w:szCs w:val="19"/>
        </w:rPr>
        <w:t>, 26, e45139. doi:10.2196/45139.</w:t>
      </w:r>
    </w:p>
    <w:p w14:paraId="47799B2B" w14:textId="77777777" w:rsidR="008626A2" w:rsidRDefault="00000000">
      <w:pPr>
        <w:spacing w:after="120" w:line="266" w:lineRule="auto"/>
        <w:ind w:left="360" w:hanging="360"/>
      </w:pPr>
      <w:r>
        <w:rPr>
          <w:sz w:val="19"/>
          <w:szCs w:val="19"/>
        </w:rPr>
        <w:t xml:space="preserve">Malizia, B.A., Hacker, M.R. and Penzias, A.S. (2009) ‘Cumulative live-birth rates after in vitro fertilization’, </w:t>
      </w:r>
      <w:r>
        <w:rPr>
          <w:i/>
          <w:iCs/>
          <w:sz w:val="19"/>
          <w:szCs w:val="19"/>
        </w:rPr>
        <w:t>New England Journal of Medicine</w:t>
      </w:r>
      <w:r>
        <w:rPr>
          <w:sz w:val="19"/>
          <w:szCs w:val="19"/>
        </w:rPr>
        <w:t>, 360(3), pp. 236–243. doi:10.1056/NEJMoa0803072.</w:t>
      </w:r>
    </w:p>
    <w:p w14:paraId="1F4292E5" w14:textId="77777777" w:rsidR="008626A2" w:rsidRDefault="00000000">
      <w:pPr>
        <w:spacing w:after="120" w:line="266" w:lineRule="auto"/>
        <w:ind w:left="360" w:hanging="360"/>
      </w:pPr>
      <w:r>
        <w:rPr>
          <w:sz w:val="19"/>
          <w:szCs w:val="19"/>
        </w:rPr>
        <w:t xml:space="preserve">Medical Device Coordination Group (2019) </w:t>
      </w:r>
      <w:r>
        <w:rPr>
          <w:i/>
          <w:iCs/>
          <w:sz w:val="19"/>
          <w:szCs w:val="19"/>
        </w:rPr>
        <w:t>MDCG 2019-11: Guidance on Qualification and Classification of Software in Regulation (EU) 2017/745 (MDR) and Regulation (EU) 2017/746 (IVDR)</w:t>
      </w:r>
      <w:r>
        <w:rPr>
          <w:sz w:val="19"/>
          <w:szCs w:val="19"/>
        </w:rPr>
        <w:t>. Brussels: European Commission.</w:t>
      </w:r>
    </w:p>
    <w:p w14:paraId="580A1F9A" w14:textId="77777777" w:rsidR="008626A2" w:rsidRDefault="00000000">
      <w:pPr>
        <w:spacing w:after="120" w:line="266" w:lineRule="auto"/>
        <w:ind w:left="360" w:hanging="360"/>
      </w:pPr>
      <w:r>
        <w:rPr>
          <w:sz w:val="19"/>
          <w:szCs w:val="19"/>
        </w:rPr>
        <w:t xml:space="preserve">Purewal, S., Chapman, S.C.E. and van den Akker, O.B.A. (2017) ‘A systematic review and meta-analysis of psychological predictors of successful assisted reproductive technologies’, </w:t>
      </w:r>
      <w:r>
        <w:rPr>
          <w:i/>
          <w:iCs/>
          <w:sz w:val="19"/>
          <w:szCs w:val="19"/>
        </w:rPr>
        <w:t>BMC Research Notes</w:t>
      </w:r>
      <w:r>
        <w:rPr>
          <w:sz w:val="19"/>
          <w:szCs w:val="19"/>
        </w:rPr>
        <w:t>, 10, 711. doi:10.1186/s13104-017-3049-z.</w:t>
      </w:r>
    </w:p>
    <w:p w14:paraId="176B2A91" w14:textId="77777777" w:rsidR="008626A2" w:rsidRDefault="00000000">
      <w:pPr>
        <w:spacing w:after="120" w:line="266" w:lineRule="auto"/>
        <w:ind w:left="360" w:hanging="360"/>
      </w:pPr>
      <w:r>
        <w:rPr>
          <w:sz w:val="19"/>
          <w:szCs w:val="19"/>
        </w:rPr>
        <w:t xml:space="preserve">Rajkhowa, M., McConnell, A. and Thomas, G.E. (2006) ‘Reasons for discontinuation of IVF treatment: a questionnaire study’, </w:t>
      </w:r>
      <w:r>
        <w:rPr>
          <w:i/>
          <w:iCs/>
          <w:sz w:val="19"/>
          <w:szCs w:val="19"/>
        </w:rPr>
        <w:t>Human Reproduction</w:t>
      </w:r>
      <w:r>
        <w:rPr>
          <w:sz w:val="19"/>
          <w:szCs w:val="19"/>
        </w:rPr>
        <w:t>, 21(2), pp. 358–363.</w:t>
      </w:r>
    </w:p>
    <w:p w14:paraId="054CCB6E" w14:textId="77777777" w:rsidR="008626A2" w:rsidRDefault="00000000">
      <w:pPr>
        <w:spacing w:after="120" w:line="266" w:lineRule="auto"/>
        <w:ind w:left="360" w:hanging="360"/>
      </w:pPr>
      <w:r>
        <w:rPr>
          <w:sz w:val="19"/>
          <w:szCs w:val="19"/>
        </w:rPr>
        <w:t xml:space="preserve">Sahoo, S., Das, A., Dash, R., Behera, A., Mishra, N. and Bal, K. (2025) ‘The psychological impact of male infertility: a narrative review’, </w:t>
      </w:r>
      <w:proofErr w:type="spellStart"/>
      <w:r>
        <w:rPr>
          <w:i/>
          <w:iCs/>
          <w:sz w:val="19"/>
          <w:szCs w:val="19"/>
        </w:rPr>
        <w:t>Cureus</w:t>
      </w:r>
      <w:proofErr w:type="spellEnd"/>
      <w:r>
        <w:rPr>
          <w:sz w:val="19"/>
          <w:szCs w:val="19"/>
        </w:rPr>
        <w:t>, 17(8), e89453. doi:10.7759/cureus.89453.</w:t>
      </w:r>
    </w:p>
    <w:p w14:paraId="6E24EAC3" w14:textId="77777777" w:rsidR="008626A2" w:rsidRDefault="00000000">
      <w:pPr>
        <w:spacing w:after="120" w:line="266" w:lineRule="auto"/>
        <w:ind w:left="360" w:hanging="360"/>
      </w:pPr>
      <w:r>
        <w:rPr>
          <w:sz w:val="19"/>
          <w:szCs w:val="19"/>
        </w:rPr>
        <w:t xml:space="preserve">Shen et al. (2026) ‘Worldwide prevalence of discontinuation in fertility treatment: a systematic review and meta-analysis’, </w:t>
      </w:r>
      <w:r>
        <w:rPr>
          <w:i/>
          <w:iCs/>
          <w:sz w:val="19"/>
          <w:szCs w:val="19"/>
        </w:rPr>
        <w:t xml:space="preserve">International Journal of </w:t>
      </w:r>
      <w:proofErr w:type="spellStart"/>
      <w:r>
        <w:rPr>
          <w:i/>
          <w:iCs/>
          <w:sz w:val="19"/>
          <w:szCs w:val="19"/>
        </w:rPr>
        <w:t>Gynecology</w:t>
      </w:r>
      <w:proofErr w:type="spellEnd"/>
      <w:r>
        <w:rPr>
          <w:i/>
          <w:iCs/>
          <w:sz w:val="19"/>
          <w:szCs w:val="19"/>
        </w:rPr>
        <w:t xml:space="preserve"> &amp; Obstetrics</w:t>
      </w:r>
      <w:r>
        <w:rPr>
          <w:sz w:val="19"/>
          <w:szCs w:val="19"/>
        </w:rPr>
        <w:t>. doi:10.1002/ijgo.70440.</w:t>
      </w:r>
    </w:p>
    <w:p w14:paraId="194F36B3" w14:textId="77777777" w:rsidR="008626A2" w:rsidRDefault="00000000">
      <w:pPr>
        <w:spacing w:after="120" w:line="266" w:lineRule="auto"/>
        <w:ind w:left="360" w:hanging="360"/>
      </w:pPr>
      <w:r>
        <w:rPr>
          <w:sz w:val="19"/>
          <w:szCs w:val="19"/>
        </w:rPr>
        <w:t xml:space="preserve">Verberg, M.F.G., </w:t>
      </w:r>
      <w:proofErr w:type="spellStart"/>
      <w:r>
        <w:rPr>
          <w:sz w:val="19"/>
          <w:szCs w:val="19"/>
        </w:rPr>
        <w:t>Eijkemans</w:t>
      </w:r>
      <w:proofErr w:type="spellEnd"/>
      <w:r>
        <w:rPr>
          <w:sz w:val="19"/>
          <w:szCs w:val="19"/>
        </w:rPr>
        <w:t xml:space="preserve">, M.J.C., Heijnen, E.M.E.W., </w:t>
      </w:r>
      <w:proofErr w:type="spellStart"/>
      <w:r>
        <w:rPr>
          <w:sz w:val="19"/>
          <w:szCs w:val="19"/>
        </w:rPr>
        <w:t>Broekmans</w:t>
      </w:r>
      <w:proofErr w:type="spellEnd"/>
      <w:r>
        <w:rPr>
          <w:sz w:val="19"/>
          <w:szCs w:val="19"/>
        </w:rPr>
        <w:t xml:space="preserve">, F.J., De Klerk, C., Fauser, B.C.J.M. and </w:t>
      </w:r>
      <w:proofErr w:type="spellStart"/>
      <w:r>
        <w:rPr>
          <w:sz w:val="19"/>
          <w:szCs w:val="19"/>
        </w:rPr>
        <w:t>Macklon</w:t>
      </w:r>
      <w:proofErr w:type="spellEnd"/>
      <w:r>
        <w:rPr>
          <w:sz w:val="19"/>
          <w:szCs w:val="19"/>
        </w:rPr>
        <w:t xml:space="preserve">, N.S. (2008) ‘Why do couples drop-out from IVF treatment? A prospective cohort study’, </w:t>
      </w:r>
      <w:r>
        <w:rPr>
          <w:i/>
          <w:iCs/>
          <w:sz w:val="19"/>
          <w:szCs w:val="19"/>
        </w:rPr>
        <w:t>Human Reproduction</w:t>
      </w:r>
      <w:r>
        <w:rPr>
          <w:sz w:val="19"/>
          <w:szCs w:val="19"/>
        </w:rPr>
        <w:t>, 23(9), pp. 2050–2055. doi:10.1093/</w:t>
      </w:r>
      <w:proofErr w:type="spellStart"/>
      <w:r>
        <w:rPr>
          <w:sz w:val="19"/>
          <w:szCs w:val="19"/>
        </w:rPr>
        <w:t>humrep</w:t>
      </w:r>
      <w:proofErr w:type="spellEnd"/>
      <w:r>
        <w:rPr>
          <w:sz w:val="19"/>
          <w:szCs w:val="19"/>
        </w:rPr>
        <w:t>/den219.</w:t>
      </w:r>
    </w:p>
    <w:p w14:paraId="0EF22E3F" w14:textId="77777777" w:rsidR="008626A2" w:rsidRDefault="00000000">
      <w:pPr>
        <w:spacing w:after="120" w:line="266" w:lineRule="auto"/>
        <w:ind w:left="360" w:hanging="360"/>
      </w:pPr>
      <w:r>
        <w:rPr>
          <w:sz w:val="19"/>
          <w:szCs w:val="19"/>
        </w:rPr>
        <w:t xml:space="preserve">Walker, Z. et al. (2023) ‘The effects of male anxiety and depression on IVF outcomes’, </w:t>
      </w:r>
      <w:r>
        <w:rPr>
          <w:i/>
          <w:iCs/>
          <w:sz w:val="19"/>
          <w:szCs w:val="19"/>
        </w:rPr>
        <w:t>Human Reproduction</w:t>
      </w:r>
      <w:r>
        <w:rPr>
          <w:sz w:val="19"/>
          <w:szCs w:val="19"/>
        </w:rPr>
        <w:t>, 38(11), 2119. doi:10.1093/</w:t>
      </w:r>
      <w:proofErr w:type="spellStart"/>
      <w:r>
        <w:rPr>
          <w:sz w:val="19"/>
          <w:szCs w:val="19"/>
        </w:rPr>
        <w:t>humrep</w:t>
      </w:r>
      <w:proofErr w:type="spellEnd"/>
      <w:r>
        <w:rPr>
          <w:sz w:val="19"/>
          <w:szCs w:val="19"/>
        </w:rPr>
        <w:t>/dead179.</w:t>
      </w:r>
    </w:p>
    <w:p w14:paraId="7BE4E9B8" w14:textId="77777777" w:rsidR="008626A2" w:rsidRDefault="00000000">
      <w:pPr>
        <w:spacing w:after="120" w:line="266" w:lineRule="auto"/>
        <w:ind w:left="360" w:hanging="360"/>
      </w:pPr>
      <w:proofErr w:type="spellStart"/>
      <w:r>
        <w:rPr>
          <w:sz w:val="19"/>
          <w:szCs w:val="19"/>
        </w:rPr>
        <w:t>Zwingerman</w:t>
      </w:r>
      <w:proofErr w:type="spellEnd"/>
      <w:r>
        <w:rPr>
          <w:sz w:val="19"/>
          <w:szCs w:val="19"/>
        </w:rPr>
        <w:t xml:space="preserve">, R., </w:t>
      </w:r>
      <w:proofErr w:type="spellStart"/>
      <w:r>
        <w:rPr>
          <w:sz w:val="19"/>
          <w:szCs w:val="19"/>
        </w:rPr>
        <w:t>Chaikof</w:t>
      </w:r>
      <w:proofErr w:type="spellEnd"/>
      <w:r>
        <w:rPr>
          <w:sz w:val="19"/>
          <w:szCs w:val="19"/>
        </w:rPr>
        <w:t xml:space="preserve">, M. and Jones, C. (2020) ‘A critical appraisal of fertility and menstrual tracking apps for the iPhone’, </w:t>
      </w:r>
      <w:r>
        <w:rPr>
          <w:i/>
          <w:iCs/>
          <w:sz w:val="19"/>
          <w:szCs w:val="19"/>
        </w:rPr>
        <w:t>Journal of Obstetrics and Gynaecology Canada</w:t>
      </w:r>
      <w:r>
        <w:rPr>
          <w:sz w:val="19"/>
          <w:szCs w:val="19"/>
        </w:rPr>
        <w:t xml:space="preserve">, 42(5), pp. 583–590. </w:t>
      </w:r>
      <w:proofErr w:type="gramStart"/>
      <w:r>
        <w:rPr>
          <w:sz w:val="19"/>
          <w:szCs w:val="19"/>
        </w:rPr>
        <w:t>doi:10.1016/j.jogc</w:t>
      </w:r>
      <w:proofErr w:type="gramEnd"/>
      <w:r>
        <w:rPr>
          <w:sz w:val="19"/>
          <w:szCs w:val="19"/>
        </w:rPr>
        <w:t>.2019.09.023.</w:t>
      </w:r>
    </w:p>
    <w:sectPr w:rsidR="008626A2">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586E" w14:textId="77777777" w:rsidR="000F4377" w:rsidRDefault="000F4377">
      <w:r>
        <w:separator/>
      </w:r>
    </w:p>
  </w:endnote>
  <w:endnote w:type="continuationSeparator" w:id="0">
    <w:p w14:paraId="0C9925DD" w14:textId="77777777" w:rsidR="000F4377" w:rsidRDefault="000F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19C4" w14:textId="77777777" w:rsidR="008626A2" w:rsidRDefault="00000000">
    <w:pPr>
      <w:pBdr>
        <w:top w:val="single" w:sz="4" w:space="6" w:color="E3D9C8"/>
      </w:pBdr>
      <w:tabs>
        <w:tab w:val="right" w:pos="9026"/>
      </w:tabs>
    </w:pPr>
    <w:r>
      <w:rPr>
        <w:color w:val="5A554C"/>
        <w:sz w:val="16"/>
        <w:szCs w:val="16"/>
      </w:rPr>
      <w:t>The Inter-Cycle Gap   ·   Izana clinical paper</w:t>
    </w:r>
    <w:r>
      <w:rPr>
        <w:sz w:val="16"/>
        <w:szCs w:val="16"/>
      </w:rPr>
      <w:tab/>
    </w:r>
    <w:r>
      <w:rPr>
        <w:color w:val="5A554C"/>
        <w:sz w:val="16"/>
        <w:szCs w:val="16"/>
      </w:rPr>
      <w:t xml:space="preserve">Page </w:t>
    </w:r>
    <w:r>
      <w:rPr>
        <w:color w:val="5A554C"/>
        <w:sz w:val="16"/>
        <w:szCs w:val="16"/>
      </w:rPr>
      <w:fldChar w:fldCharType="begin"/>
    </w:r>
    <w:r>
      <w:rPr>
        <w:color w:val="5A554C"/>
        <w:sz w:val="16"/>
        <w:szCs w:val="16"/>
      </w:rPr>
      <w:instrText>PAGE</w:instrText>
    </w:r>
    <w:r>
      <w:rPr>
        <w:color w:val="5A554C"/>
        <w:sz w:val="16"/>
        <w:szCs w:val="16"/>
      </w:rPr>
      <w:fldChar w:fldCharType="separate"/>
    </w:r>
    <w:r w:rsidR="008151D2">
      <w:rPr>
        <w:noProof/>
        <w:color w:val="5A554C"/>
        <w:sz w:val="16"/>
        <w:szCs w:val="16"/>
      </w:rPr>
      <w:t>1</w:t>
    </w:r>
    <w:r>
      <w:rPr>
        <w:color w:val="5A554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17CC" w14:textId="77777777" w:rsidR="000F4377" w:rsidRDefault="000F4377">
      <w:r>
        <w:separator/>
      </w:r>
    </w:p>
  </w:footnote>
  <w:footnote w:type="continuationSeparator" w:id="0">
    <w:p w14:paraId="13592A02" w14:textId="77777777" w:rsidR="000F4377" w:rsidRDefault="000F4377">
      <w:r>
        <w:continuationSeparator/>
      </w:r>
    </w:p>
  </w:footnote>
  <w:footnote w:id="1">
    <w:p w14:paraId="2D339CBE" w14:textId="767CC870" w:rsidR="008626A2" w:rsidRDefault="00000000">
      <w:r>
        <w:rPr>
          <w:rStyle w:val="FootnoteReference"/>
        </w:rPr>
        <w:footnoteRef/>
      </w:r>
      <w:r>
        <w:rPr>
          <w:sz w:val="18"/>
          <w:szCs w:val="18"/>
        </w:rPr>
        <w:t>Illustrative estimate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76CAB"/>
    <w:multiLevelType w:val="hybridMultilevel"/>
    <w:tmpl w:val="E730BB32"/>
    <w:lvl w:ilvl="0" w:tplc="FD1810BE">
      <w:start w:val="1"/>
      <w:numFmt w:val="bullet"/>
      <w:lvlText w:val="●"/>
      <w:lvlJc w:val="left"/>
      <w:pPr>
        <w:ind w:left="720" w:hanging="360"/>
      </w:pPr>
    </w:lvl>
    <w:lvl w:ilvl="1" w:tplc="AE8E1E7C">
      <w:start w:val="1"/>
      <w:numFmt w:val="bullet"/>
      <w:lvlText w:val="○"/>
      <w:lvlJc w:val="left"/>
      <w:pPr>
        <w:ind w:left="1440" w:hanging="360"/>
      </w:pPr>
    </w:lvl>
    <w:lvl w:ilvl="2" w:tplc="F9781A26">
      <w:start w:val="1"/>
      <w:numFmt w:val="bullet"/>
      <w:lvlText w:val="■"/>
      <w:lvlJc w:val="left"/>
      <w:pPr>
        <w:ind w:left="2160" w:hanging="360"/>
      </w:pPr>
    </w:lvl>
    <w:lvl w:ilvl="3" w:tplc="7E805CEA">
      <w:start w:val="1"/>
      <w:numFmt w:val="bullet"/>
      <w:lvlText w:val="●"/>
      <w:lvlJc w:val="left"/>
      <w:pPr>
        <w:ind w:left="2880" w:hanging="360"/>
      </w:pPr>
    </w:lvl>
    <w:lvl w:ilvl="4" w:tplc="E66C608C">
      <w:start w:val="1"/>
      <w:numFmt w:val="bullet"/>
      <w:lvlText w:val="○"/>
      <w:lvlJc w:val="left"/>
      <w:pPr>
        <w:ind w:left="3600" w:hanging="360"/>
      </w:pPr>
    </w:lvl>
    <w:lvl w:ilvl="5" w:tplc="762267C8">
      <w:start w:val="1"/>
      <w:numFmt w:val="bullet"/>
      <w:lvlText w:val="■"/>
      <w:lvlJc w:val="left"/>
      <w:pPr>
        <w:ind w:left="4320" w:hanging="360"/>
      </w:pPr>
    </w:lvl>
    <w:lvl w:ilvl="6" w:tplc="DDF0FC32">
      <w:start w:val="1"/>
      <w:numFmt w:val="bullet"/>
      <w:lvlText w:val="●"/>
      <w:lvlJc w:val="left"/>
      <w:pPr>
        <w:ind w:left="5040" w:hanging="360"/>
      </w:pPr>
    </w:lvl>
    <w:lvl w:ilvl="7" w:tplc="CD5E38A0">
      <w:start w:val="1"/>
      <w:numFmt w:val="bullet"/>
      <w:lvlText w:val="●"/>
      <w:lvlJc w:val="left"/>
      <w:pPr>
        <w:ind w:left="5760" w:hanging="360"/>
      </w:pPr>
    </w:lvl>
    <w:lvl w:ilvl="8" w:tplc="B3AA2140">
      <w:start w:val="1"/>
      <w:numFmt w:val="bullet"/>
      <w:lvlText w:val="●"/>
      <w:lvlJc w:val="left"/>
      <w:pPr>
        <w:ind w:left="6480" w:hanging="360"/>
      </w:pPr>
    </w:lvl>
  </w:abstractNum>
  <w:num w:numId="1" w16cid:durableId="116994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A2"/>
    <w:rsid w:val="000F4377"/>
    <w:rsid w:val="00372FE8"/>
    <w:rsid w:val="008151D2"/>
    <w:rsid w:val="008626A2"/>
    <w:rsid w:val="00891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85C815"/>
  <w15:docId w15:val="{963BF9A1-90B4-6649-A4AD-63A1077B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D2A26"/>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20" w:after="150"/>
      <w:outlineLvl w:val="0"/>
    </w:pPr>
    <w:rPr>
      <w:b/>
      <w:bCs/>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6378</Words>
  <Characters>36361</Characters>
  <Application>Microsoft Office Word</Application>
  <DocSecurity>0</DocSecurity>
  <Lines>303</Lines>
  <Paragraphs>85</Paragraphs>
  <ScaleCrop>false</ScaleCrop>
  <Company/>
  <LinksUpToDate>false</LinksUpToDate>
  <CharactersWithSpaces>42654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Inter-Cycle Gap</dc:title>
  <dc:creator>Izana</dc:creator>
  <cp:lastModifiedBy>Sharad Selvam Selvamuthu Kumarasamy</cp:lastModifiedBy>
  <cp:revision>3</cp:revision>
  <dcterms:created xsi:type="dcterms:W3CDTF">2026-06-01T10:49:00Z</dcterms:created>
  <dcterms:modified xsi:type="dcterms:W3CDTF">2026-06-01T10:59:00Z</dcterms:modified>
</cp:coreProperties>
</file>